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43B99" w14:textId="080E63C9" w:rsidR="00F31483" w:rsidRPr="00F31483" w:rsidRDefault="00F31483" w:rsidP="00F31483">
      <w:pPr>
        <w:pStyle w:val="CRCoverPage"/>
        <w:outlineLvl w:val="0"/>
        <w:rPr>
          <w:rFonts w:cs="Arial"/>
          <w:b/>
          <w:bCs/>
          <w:lang w:val="en-US" w:eastAsia="zh-CN"/>
        </w:rPr>
      </w:pPr>
      <w:r w:rsidRPr="00F31483">
        <w:rPr>
          <w:rFonts w:cs="Arial"/>
          <w:b/>
          <w:bCs/>
          <w:lang w:val="en-US" w:eastAsia="zh-CN"/>
        </w:rPr>
        <w:t>3GPP TSG RAN WG1 Meeting #92bis</w:t>
      </w:r>
      <w:r w:rsidRPr="00F31483">
        <w:rPr>
          <w:rFonts w:cs="Arial"/>
          <w:b/>
          <w:bCs/>
          <w:lang w:val="en-US" w:eastAsia="zh-CN"/>
        </w:rPr>
        <w:tab/>
      </w:r>
      <w:r w:rsidRPr="00F31483">
        <w:rPr>
          <w:rFonts w:cs="Arial"/>
          <w:b/>
          <w:bCs/>
          <w:lang w:val="en-US" w:eastAsia="zh-CN"/>
        </w:rPr>
        <w:tab/>
      </w:r>
      <w:r>
        <w:rPr>
          <w:rFonts w:cs="Arial"/>
          <w:b/>
          <w:bCs/>
          <w:lang w:val="en-US" w:eastAsia="zh-CN"/>
        </w:rPr>
        <w:tab/>
      </w:r>
      <w:r>
        <w:rPr>
          <w:rFonts w:cs="Arial"/>
          <w:b/>
          <w:bCs/>
          <w:lang w:val="en-US" w:eastAsia="zh-CN"/>
        </w:rPr>
        <w:tab/>
      </w:r>
      <w:r>
        <w:rPr>
          <w:rFonts w:cs="Arial"/>
          <w:b/>
          <w:bCs/>
          <w:lang w:val="en-US" w:eastAsia="zh-CN"/>
        </w:rPr>
        <w:tab/>
      </w:r>
      <w:r>
        <w:rPr>
          <w:rFonts w:cs="Arial"/>
          <w:b/>
          <w:bCs/>
          <w:lang w:val="en-US" w:eastAsia="zh-CN"/>
        </w:rPr>
        <w:tab/>
      </w:r>
      <w:r>
        <w:rPr>
          <w:rFonts w:cs="Arial"/>
          <w:b/>
          <w:bCs/>
          <w:lang w:val="en-US" w:eastAsia="zh-CN"/>
        </w:rPr>
        <w:tab/>
      </w:r>
      <w:r>
        <w:rPr>
          <w:rFonts w:cs="Arial"/>
          <w:b/>
          <w:bCs/>
          <w:lang w:val="en-US" w:eastAsia="zh-CN"/>
        </w:rPr>
        <w:tab/>
      </w:r>
      <w:r>
        <w:rPr>
          <w:rFonts w:cs="Arial"/>
          <w:b/>
          <w:bCs/>
          <w:lang w:val="en-US" w:eastAsia="zh-CN"/>
        </w:rPr>
        <w:tab/>
      </w:r>
      <w:r w:rsidRPr="00F31483">
        <w:rPr>
          <w:rFonts w:cs="Arial"/>
          <w:b/>
          <w:bCs/>
          <w:lang w:val="en-US" w:eastAsia="zh-CN"/>
        </w:rPr>
        <w:t>R1-</w:t>
      </w:r>
      <w:r w:rsidR="00CD1533" w:rsidRPr="00CD1533">
        <w:rPr>
          <w:rFonts w:cs="Arial"/>
          <w:b/>
          <w:bCs/>
          <w:lang w:val="en-US" w:eastAsia="zh-CN"/>
        </w:rPr>
        <w:t>1804770</w:t>
      </w:r>
      <w:bookmarkStart w:id="0" w:name="_GoBack"/>
      <w:bookmarkEnd w:id="0"/>
    </w:p>
    <w:p w14:paraId="49C683B7" w14:textId="35AF37B2" w:rsidR="00136C56" w:rsidRDefault="00F31483" w:rsidP="00F31483">
      <w:pPr>
        <w:pStyle w:val="CRCoverPage"/>
        <w:outlineLvl w:val="0"/>
        <w:rPr>
          <w:rFonts w:cs="Arial"/>
          <w:b/>
          <w:bCs/>
          <w:lang w:val="en-US" w:eastAsia="zh-CN"/>
        </w:rPr>
      </w:pPr>
      <w:r w:rsidRPr="00F31483">
        <w:rPr>
          <w:rFonts w:cs="Arial"/>
          <w:b/>
          <w:bCs/>
          <w:lang w:val="en-US" w:eastAsia="zh-CN"/>
        </w:rPr>
        <w:t>Sanya, China, April 16th – 20th, 2018</w:t>
      </w:r>
    </w:p>
    <w:p w14:paraId="1DF87CB6" w14:textId="77777777" w:rsidR="00F31483" w:rsidRPr="00136C56" w:rsidRDefault="00F31483" w:rsidP="00F31483">
      <w:pPr>
        <w:pStyle w:val="CRCoverPage"/>
        <w:outlineLvl w:val="0"/>
        <w:rPr>
          <w:rFonts w:ascii="Times New Roman" w:hAnsi="Times New Roman"/>
          <w:b/>
          <w:sz w:val="24"/>
          <w:lang w:val="en-US"/>
        </w:rPr>
      </w:pPr>
    </w:p>
    <w:p w14:paraId="5FB7E722" w14:textId="3041BE05"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D86267">
        <w:rPr>
          <w:sz w:val="22"/>
          <w:szCs w:val="22"/>
        </w:rPr>
        <w:t>1.</w:t>
      </w:r>
      <w:r w:rsidR="00440C55">
        <w:rPr>
          <w:sz w:val="22"/>
          <w:szCs w:val="22"/>
        </w:rPr>
        <w:t>2.2.3</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77777777" w:rsidR="008E401E" w:rsidRDefault="003D3C45" w:rsidP="00311702">
      <w:pPr>
        <w:pStyle w:val="3GPPHeader"/>
        <w:rPr>
          <w:sz w:val="22"/>
          <w:szCs w:val="22"/>
        </w:rPr>
      </w:pPr>
      <w:r w:rsidRPr="00315C6E">
        <w:rPr>
          <w:sz w:val="22"/>
          <w:szCs w:val="22"/>
        </w:rPr>
        <w:t>Title:</w:t>
      </w:r>
      <w:r w:rsidR="00E90E49" w:rsidRPr="00315C6E">
        <w:rPr>
          <w:sz w:val="22"/>
          <w:szCs w:val="22"/>
        </w:rPr>
        <w:tab/>
      </w:r>
      <w:r w:rsidR="008E401E" w:rsidRPr="008E401E">
        <w:rPr>
          <w:sz w:val="22"/>
          <w:szCs w:val="22"/>
        </w:rPr>
        <w:t>Discussion on beam measurement and reporting</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Pr="002E5207" w:rsidRDefault="00E90E49" w:rsidP="00226A79">
      <w:pPr>
        <w:pStyle w:val="Heading1"/>
      </w:pPr>
      <w:r w:rsidRPr="00315C6E">
        <w:t>Introduction</w:t>
      </w:r>
    </w:p>
    <w:p w14:paraId="15F307AD" w14:textId="32C20E64" w:rsidR="009A00CA" w:rsidRDefault="00A9136F" w:rsidP="001622D5">
      <w:pPr>
        <w:jc w:val="both"/>
        <w:rPr>
          <w:sz w:val="20"/>
          <w:szCs w:val="20"/>
        </w:rPr>
      </w:pPr>
      <w:r>
        <w:rPr>
          <w:sz w:val="20"/>
          <w:szCs w:val="20"/>
        </w:rPr>
        <w:t xml:space="preserve">NR, as a new Radio Access Technology (RAT), </w:t>
      </w:r>
      <w:r w:rsidR="00223CDE">
        <w:rPr>
          <w:sz w:val="20"/>
          <w:szCs w:val="20"/>
        </w:rPr>
        <w:t xml:space="preserve">is designed to provide </w:t>
      </w:r>
      <w:r w:rsidR="00CE5D4B">
        <w:rPr>
          <w:sz w:val="20"/>
          <w:szCs w:val="20"/>
        </w:rPr>
        <w:t xml:space="preserve">better services including high data rate, low latency, high reliability and high connection density, etc. </w:t>
      </w:r>
      <w:r w:rsidR="00197CFF">
        <w:rPr>
          <w:sz w:val="20"/>
          <w:szCs w:val="20"/>
        </w:rPr>
        <w:t xml:space="preserve">Among all those performance metrics, </w:t>
      </w:r>
      <w:r w:rsidR="00437BB9">
        <w:rPr>
          <w:sz w:val="20"/>
          <w:szCs w:val="20"/>
        </w:rPr>
        <w:t xml:space="preserve">achieving high </w:t>
      </w:r>
      <w:r w:rsidR="00197CFF">
        <w:rPr>
          <w:sz w:val="20"/>
          <w:szCs w:val="20"/>
        </w:rPr>
        <w:t>data rate for eMBB service is very important. To improve the date rate, it is crucial to design a system that can work at higher frequency band (above 6GHz or mmW)</w:t>
      </w:r>
      <w:r w:rsidR="000840C3">
        <w:rPr>
          <w:sz w:val="20"/>
          <w:szCs w:val="20"/>
        </w:rPr>
        <w:t xml:space="preserve">, where large bandwidth can be available. </w:t>
      </w:r>
      <w:r w:rsidR="009A00CA">
        <w:rPr>
          <w:sz w:val="20"/>
          <w:szCs w:val="20"/>
        </w:rPr>
        <w:t>High frequency band communications are typically limited by the analog beam forming due to RF constraint as well as the coverage requirement, therefore, beam measurement and report</w:t>
      </w:r>
      <w:r w:rsidR="0087043E">
        <w:rPr>
          <w:sz w:val="20"/>
          <w:szCs w:val="20"/>
        </w:rPr>
        <w:t>ing</w:t>
      </w:r>
      <w:r w:rsidR="009A00CA">
        <w:rPr>
          <w:sz w:val="20"/>
          <w:szCs w:val="20"/>
        </w:rPr>
        <w:t xml:space="preserve"> is one of the most important topic</w:t>
      </w:r>
      <w:r w:rsidR="0087043E">
        <w:rPr>
          <w:sz w:val="20"/>
          <w:szCs w:val="20"/>
        </w:rPr>
        <w:t>s</w:t>
      </w:r>
      <w:r w:rsidR="009A00CA">
        <w:rPr>
          <w:sz w:val="20"/>
          <w:szCs w:val="20"/>
        </w:rPr>
        <w:t xml:space="preserve"> for high frequency band communication design.</w:t>
      </w:r>
    </w:p>
    <w:p w14:paraId="161072FD" w14:textId="77777777" w:rsidR="009A00CA" w:rsidRDefault="009A00CA" w:rsidP="001622D5">
      <w:pPr>
        <w:jc w:val="both"/>
        <w:rPr>
          <w:sz w:val="20"/>
          <w:szCs w:val="20"/>
        </w:rPr>
      </w:pPr>
    </w:p>
    <w:p w14:paraId="0801E7AD" w14:textId="0FC76CEA" w:rsidR="00C5395B" w:rsidRDefault="00FB07D3" w:rsidP="001622D5">
      <w:pPr>
        <w:jc w:val="both"/>
        <w:rPr>
          <w:sz w:val="20"/>
          <w:szCs w:val="20"/>
        </w:rPr>
      </w:pPr>
      <w:r>
        <w:rPr>
          <w:sz w:val="20"/>
          <w:szCs w:val="20"/>
        </w:rPr>
        <w:t>So far, in 3GPP RAN1 meeting, many progress</w:t>
      </w:r>
      <w:r w:rsidR="003C1E8B">
        <w:rPr>
          <w:sz w:val="20"/>
          <w:szCs w:val="20"/>
        </w:rPr>
        <w:t>es</w:t>
      </w:r>
      <w:r>
        <w:rPr>
          <w:sz w:val="20"/>
          <w:szCs w:val="20"/>
        </w:rPr>
        <w:t xml:space="preserve"> ha</w:t>
      </w:r>
      <w:r w:rsidR="003C1E8B">
        <w:rPr>
          <w:sz w:val="20"/>
          <w:szCs w:val="20"/>
        </w:rPr>
        <w:t>ve</w:t>
      </w:r>
      <w:r>
        <w:rPr>
          <w:sz w:val="20"/>
          <w:szCs w:val="20"/>
        </w:rPr>
        <w:t xml:space="preserve"> been made regarding the b</w:t>
      </w:r>
      <w:r w:rsidR="00FB4430">
        <w:rPr>
          <w:sz w:val="20"/>
          <w:szCs w:val="20"/>
        </w:rPr>
        <w:t xml:space="preserve">eam </w:t>
      </w:r>
      <w:r>
        <w:rPr>
          <w:sz w:val="20"/>
          <w:szCs w:val="20"/>
        </w:rPr>
        <w:t xml:space="preserve">measurement and reporting. </w:t>
      </w:r>
      <w:r w:rsidR="0085042A">
        <w:rPr>
          <w:sz w:val="20"/>
          <w:szCs w:val="20"/>
        </w:rPr>
        <w:t>Firstly, general DL beam management procedures (P1, P2 and P3) and UL beam management procedures (U1, U2 and U3)</w:t>
      </w:r>
      <w:r w:rsidR="00330CC6">
        <w:rPr>
          <w:sz w:val="20"/>
          <w:szCs w:val="20"/>
        </w:rPr>
        <w:t xml:space="preserve"> have been agreed in RAN1 #86</w:t>
      </w:r>
      <w:r w:rsidR="009D665B">
        <w:rPr>
          <w:sz w:val="20"/>
          <w:szCs w:val="20"/>
        </w:rPr>
        <w:t xml:space="preserve"> and #86b</w:t>
      </w:r>
      <w:r w:rsidR="00C5395B">
        <w:rPr>
          <w:sz w:val="20"/>
          <w:szCs w:val="20"/>
        </w:rPr>
        <w:t xml:space="preserve"> [1][2]</w:t>
      </w:r>
      <w:r w:rsidR="008D346C">
        <w:rPr>
          <w:sz w:val="20"/>
          <w:szCs w:val="20"/>
        </w:rPr>
        <w:t>, respectively</w:t>
      </w:r>
      <w:r w:rsidR="009D665B">
        <w:rPr>
          <w:sz w:val="20"/>
          <w:szCs w:val="20"/>
        </w:rPr>
        <w:t>.</w:t>
      </w:r>
    </w:p>
    <w:p w14:paraId="1B69F60C" w14:textId="4C218840" w:rsidR="00330CC6" w:rsidRDefault="00330CC6" w:rsidP="001622D5">
      <w:pPr>
        <w:jc w:val="both"/>
        <w:rPr>
          <w:sz w:val="20"/>
          <w:szCs w:val="20"/>
        </w:rPr>
      </w:pPr>
      <w:r>
        <w:rPr>
          <w:sz w:val="20"/>
          <w:szCs w:val="20"/>
        </w:rPr>
        <w:t xml:space="preserve"> </w:t>
      </w: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0A8DEC4E"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1AF1ACC" w14:textId="77777777" w:rsidR="00330CC6" w:rsidRPr="00B00240" w:rsidRDefault="00330CC6" w:rsidP="00330CC6">
            <w:pPr>
              <w:pStyle w:val="ListParagraph"/>
              <w:numPr>
                <w:ilvl w:val="0"/>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The following DL L1/L2 beam management procedures are supported within one or multiple TRPs:</w:t>
            </w:r>
          </w:p>
          <w:p w14:paraId="35A3A8E6"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P-1: is used to enable UE measurement on different TRP Tx beams to support selection of TRP Tx beams/UE Rx beam(s)</w:t>
            </w:r>
          </w:p>
          <w:p w14:paraId="62936083"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For beamforming at TRP, it typically includes a intra/inter-TRP Tx beam sweep from a set of different beams</w:t>
            </w:r>
          </w:p>
          <w:p w14:paraId="4AEA7414"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For beamforming at UE, it typically includes a UE Rx beam sweep from a set of different beams</w:t>
            </w:r>
          </w:p>
          <w:p w14:paraId="1F741216"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FFS: TRP Tx beam and UE Rx beam can be determined jointly or sequentially</w:t>
            </w:r>
          </w:p>
          <w:p w14:paraId="42E6A245"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P-2: is used to enable UE measurement on different TRP Tx beams to possibly change inter/intra-TRP Tx beam(s)</w:t>
            </w:r>
          </w:p>
          <w:p w14:paraId="24EC0776" w14:textId="1D495DB3" w:rsidR="00330CC6" w:rsidRPr="00B00240" w:rsidRDefault="002A7D78"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From a</w:t>
            </w:r>
            <w:r w:rsidR="00330CC6" w:rsidRPr="00B00240">
              <w:rPr>
                <w:rFonts w:ascii="Times New Roman" w:eastAsia="MS Mincho" w:hAnsi="Times New Roman"/>
                <w:sz w:val="20"/>
                <w:szCs w:val="20"/>
              </w:rPr>
              <w:t xml:space="preserve"> possibly smaller set of beams for beam refinement than in P-1</w:t>
            </w:r>
          </w:p>
          <w:p w14:paraId="0DE6FDE8"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P-2 can be a special case of P-1</w:t>
            </w:r>
          </w:p>
          <w:p w14:paraId="71A75E0F"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P-3: is used to enable UE measurement on the same TRP Tx beam to change UE Rx beam in the case UE uses beamforming</w:t>
            </w:r>
          </w:p>
          <w:p w14:paraId="4C7D7E05"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5585C23" w14:textId="77777777" w:rsidR="00330CC6" w:rsidRPr="00B00240" w:rsidRDefault="00330CC6" w:rsidP="00330CC6">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UL beam management is to be further studied in NR</w:t>
            </w:r>
          </w:p>
          <w:p w14:paraId="29D367C8" w14:textId="77777777" w:rsidR="00330CC6" w:rsidRPr="00B00240" w:rsidRDefault="00330CC6" w:rsidP="00330CC6">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Similar procedures can be defined as DL beam management with details FFS, e.g.:</w:t>
            </w:r>
          </w:p>
          <w:p w14:paraId="2E413EEC"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U-1: is used to enable TRP measurement on different UE Tx beams to support selection of UE Tx beams/TRP Rx beam(s)</w:t>
            </w:r>
          </w:p>
          <w:p w14:paraId="1817A05B" w14:textId="77777777" w:rsidR="00330CC6" w:rsidRPr="00B00240" w:rsidRDefault="00330CC6" w:rsidP="00330CC6">
            <w:pPr>
              <w:pStyle w:val="ListParagraph"/>
              <w:numPr>
                <w:ilvl w:val="3"/>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this is not necessarily useful in all cases</w:t>
            </w:r>
          </w:p>
          <w:p w14:paraId="5D6F7483"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U-2: is used to enable TRP measurement on different TRP Rx beams to possibly change/select inter/intra-TRP Rx beam(s)</w:t>
            </w:r>
          </w:p>
          <w:p w14:paraId="6A266093" w14:textId="37CE4100" w:rsidR="00330CC6" w:rsidRPr="00330CC6" w:rsidRDefault="00330CC6" w:rsidP="00330CC6">
            <w:pPr>
              <w:pStyle w:val="ListParagraph"/>
              <w:numPr>
                <w:ilvl w:val="2"/>
                <w:numId w:val="13"/>
              </w:numPr>
              <w:overflowPunct w:val="0"/>
              <w:autoSpaceDE w:val="0"/>
              <w:autoSpaceDN w:val="0"/>
              <w:adjustRightInd w:val="0"/>
              <w:spacing w:after="180"/>
              <w:contextualSpacing/>
              <w:textAlignment w:val="baseline"/>
              <w:rPr>
                <w:rFonts w:eastAsia="MS Mincho"/>
              </w:rPr>
            </w:pPr>
            <w:r w:rsidRPr="00B00240">
              <w:rPr>
                <w:rFonts w:ascii="Times New Roman" w:eastAsia="MS Mincho" w:hAnsi="Times New Roman"/>
                <w:sz w:val="20"/>
                <w:szCs w:val="20"/>
              </w:rPr>
              <w:t>U-3: is used to enable TRP measurement on the same TRP Rx beam to change UE Tx beam in the case UE uses beamforming</w:t>
            </w:r>
          </w:p>
        </w:tc>
      </w:tr>
    </w:tbl>
    <w:p w14:paraId="451E2283" w14:textId="4B10EC72" w:rsidR="00FB07D3" w:rsidRDefault="0085042A" w:rsidP="001622D5">
      <w:pPr>
        <w:jc w:val="both"/>
        <w:rPr>
          <w:sz w:val="20"/>
          <w:szCs w:val="20"/>
        </w:rPr>
      </w:pPr>
      <w:r>
        <w:rPr>
          <w:sz w:val="20"/>
          <w:szCs w:val="20"/>
        </w:rPr>
        <w:t xml:space="preserve"> </w:t>
      </w:r>
    </w:p>
    <w:p w14:paraId="1A53E572" w14:textId="6D722EB5" w:rsidR="00290BD6" w:rsidRDefault="005852E2" w:rsidP="001622D5">
      <w:pPr>
        <w:jc w:val="both"/>
        <w:rPr>
          <w:sz w:val="20"/>
          <w:szCs w:val="20"/>
        </w:rPr>
      </w:pPr>
      <w:r>
        <w:rPr>
          <w:sz w:val="20"/>
          <w:szCs w:val="20"/>
        </w:rPr>
        <w:t xml:space="preserve">So </w:t>
      </w:r>
      <w:r w:rsidR="006F5EBE">
        <w:rPr>
          <w:sz w:val="20"/>
          <w:szCs w:val="20"/>
        </w:rPr>
        <w:t xml:space="preserve">far, for all three types of beam measurement and reporting, i.e. periodic, semi-persistent and aperiodic, the agreement focuses on the </w:t>
      </w:r>
      <w:r w:rsidR="004A6FA3">
        <w:rPr>
          <w:sz w:val="20"/>
          <w:szCs w:val="20"/>
        </w:rPr>
        <w:t xml:space="preserve">basic </w:t>
      </w:r>
      <w:r w:rsidR="006F5EBE">
        <w:rPr>
          <w:sz w:val="20"/>
          <w:szCs w:val="20"/>
        </w:rPr>
        <w:t xml:space="preserve">NW controlled behavior. In other words, </w:t>
      </w:r>
      <w:r w:rsidR="004A6FA3">
        <w:rPr>
          <w:sz w:val="20"/>
          <w:szCs w:val="20"/>
        </w:rPr>
        <w:t>NW configures periodic or semi-persistent resource</w:t>
      </w:r>
      <w:r w:rsidR="006E4C7F">
        <w:rPr>
          <w:sz w:val="20"/>
          <w:szCs w:val="20"/>
        </w:rPr>
        <w:t>s</w:t>
      </w:r>
      <w:r w:rsidR="004A6FA3">
        <w:rPr>
          <w:sz w:val="20"/>
          <w:szCs w:val="20"/>
        </w:rPr>
        <w:t xml:space="preserve"> for UE to measure and UE reports periodically or semi-persistently, </w:t>
      </w:r>
      <w:r w:rsidR="002B0D3E">
        <w:rPr>
          <w:sz w:val="20"/>
          <w:szCs w:val="20"/>
        </w:rPr>
        <w:t>or NW can configure aperiodic resource for UE to measure and report</w:t>
      </w:r>
      <w:r w:rsidR="00290BD6">
        <w:rPr>
          <w:sz w:val="20"/>
          <w:szCs w:val="20"/>
        </w:rPr>
        <w:t>.</w:t>
      </w:r>
      <w:r w:rsidR="00D0190A">
        <w:rPr>
          <w:sz w:val="20"/>
          <w:szCs w:val="20"/>
        </w:rPr>
        <w:t xml:space="preserve"> We list some important agreement in RAN1 so far regarding the beam </w:t>
      </w:r>
      <w:r w:rsidR="00D2486B">
        <w:rPr>
          <w:sz w:val="20"/>
          <w:szCs w:val="20"/>
        </w:rPr>
        <w:t>measurement</w:t>
      </w:r>
      <w:r w:rsidR="00D0190A">
        <w:rPr>
          <w:sz w:val="20"/>
          <w:szCs w:val="20"/>
        </w:rPr>
        <w:t xml:space="preserve"> and reporting</w:t>
      </w:r>
      <w:r w:rsidR="00E82FF3">
        <w:rPr>
          <w:sz w:val="20"/>
          <w:szCs w:val="20"/>
        </w:rPr>
        <w:t xml:space="preserve"> [3][4]</w:t>
      </w:r>
    </w:p>
    <w:p w14:paraId="7833B5E5" w14:textId="77777777" w:rsidR="00D2486B" w:rsidRDefault="00D2486B" w:rsidP="001622D5">
      <w:pPr>
        <w:jc w:val="both"/>
        <w:rPr>
          <w:sz w:val="20"/>
          <w:szCs w:val="20"/>
        </w:rPr>
      </w:pPr>
    </w:p>
    <w:p w14:paraId="49DC4BBE" w14:textId="77777777" w:rsidR="00C0236D" w:rsidRDefault="00C0236D" w:rsidP="001622D5">
      <w:pPr>
        <w:jc w:val="both"/>
        <w:rPr>
          <w:sz w:val="20"/>
          <w:szCs w:val="20"/>
        </w:rPr>
      </w:pPr>
    </w:p>
    <w:p w14:paraId="56FDD4BA" w14:textId="77777777" w:rsidR="00F92C60" w:rsidRDefault="00F92C60" w:rsidP="001622D5">
      <w:pPr>
        <w:jc w:val="both"/>
        <w:rPr>
          <w:sz w:val="20"/>
          <w:szCs w:val="20"/>
        </w:rPr>
      </w:pPr>
    </w:p>
    <w:tbl>
      <w:tblPr>
        <w:tblStyle w:val="TableGrid"/>
        <w:tblW w:w="0" w:type="auto"/>
        <w:tblLook w:val="04A0" w:firstRow="1" w:lastRow="0" w:firstColumn="1" w:lastColumn="0" w:noHBand="0" w:noVBand="1"/>
      </w:tblPr>
      <w:tblGrid>
        <w:gridCol w:w="9629"/>
      </w:tblGrid>
      <w:tr w:rsidR="00D2486B" w14:paraId="296DE695" w14:textId="77777777" w:rsidTr="00D2486B">
        <w:tc>
          <w:tcPr>
            <w:tcW w:w="9629" w:type="dxa"/>
          </w:tcPr>
          <w:p w14:paraId="429ED48F" w14:textId="77777777" w:rsidR="00F92C60" w:rsidRPr="00C0236D" w:rsidRDefault="00F92C60" w:rsidP="00F92C60">
            <w:pPr>
              <w:rPr>
                <w:b/>
                <w:sz w:val="20"/>
                <w:szCs w:val="20"/>
                <w:lang w:eastAsia="x-none"/>
              </w:rPr>
            </w:pPr>
            <w:r w:rsidRPr="00C0236D">
              <w:rPr>
                <w:b/>
                <w:sz w:val="20"/>
                <w:szCs w:val="20"/>
                <w:highlight w:val="green"/>
                <w:lang w:eastAsia="x-none"/>
              </w:rPr>
              <w:t>Agreement:</w:t>
            </w:r>
          </w:p>
          <w:p w14:paraId="624D5B4C" w14:textId="77777777" w:rsidR="00F92C60" w:rsidRPr="00C0236D" w:rsidRDefault="00F92C60" w:rsidP="00F92C60">
            <w:pPr>
              <w:pStyle w:val="ListParagraph"/>
              <w:numPr>
                <w:ilvl w:val="0"/>
                <w:numId w:val="22"/>
              </w:numPr>
              <w:contextualSpacing/>
              <w:rPr>
                <w:rFonts w:ascii="Times New Roman" w:hAnsi="Times New Roman"/>
                <w:sz w:val="20"/>
                <w:szCs w:val="20"/>
              </w:rPr>
            </w:pPr>
            <w:r w:rsidRPr="00C0236D">
              <w:rPr>
                <w:rFonts w:ascii="Times New Roman" w:hAnsi="Times New Roman"/>
                <w:sz w:val="20"/>
                <w:szCs w:val="20"/>
              </w:rPr>
              <w:t xml:space="preserve">Support configuration of SSB for a UE to measure and report one or more L1-RSRP(s) </w:t>
            </w:r>
          </w:p>
          <w:p w14:paraId="4CB45B49" w14:textId="77777777" w:rsidR="00F92C60" w:rsidRPr="00C0236D" w:rsidRDefault="00F92C60" w:rsidP="00F92C60">
            <w:pPr>
              <w:rPr>
                <w:b/>
                <w:sz w:val="20"/>
                <w:szCs w:val="20"/>
                <w:highlight w:val="green"/>
              </w:rPr>
            </w:pPr>
          </w:p>
          <w:p w14:paraId="62F3B967" w14:textId="77777777" w:rsidR="00F92C60" w:rsidRPr="00C0236D" w:rsidRDefault="00F92C60" w:rsidP="00F92C60">
            <w:pPr>
              <w:rPr>
                <w:b/>
                <w:sz w:val="20"/>
                <w:szCs w:val="20"/>
              </w:rPr>
            </w:pPr>
            <w:r w:rsidRPr="00C0236D">
              <w:rPr>
                <w:b/>
                <w:sz w:val="20"/>
                <w:szCs w:val="20"/>
                <w:highlight w:val="green"/>
              </w:rPr>
              <w:t>Agreement:</w:t>
            </w:r>
          </w:p>
          <w:p w14:paraId="0EE66853" w14:textId="77777777" w:rsidR="00F92C60" w:rsidRPr="00C0236D" w:rsidRDefault="00F92C60" w:rsidP="00F92C60">
            <w:pPr>
              <w:widowControl w:val="0"/>
              <w:numPr>
                <w:ilvl w:val="0"/>
                <w:numId w:val="18"/>
              </w:numPr>
              <w:autoSpaceDE w:val="0"/>
              <w:autoSpaceDN w:val="0"/>
              <w:adjustRightInd w:val="0"/>
              <w:ind w:left="1170" w:hanging="450"/>
              <w:rPr>
                <w:color w:val="000000"/>
                <w:kern w:val="24"/>
                <w:sz w:val="20"/>
                <w:szCs w:val="20"/>
              </w:rPr>
            </w:pPr>
            <w:r w:rsidRPr="00C0236D">
              <w:rPr>
                <w:color w:val="000000"/>
                <w:kern w:val="24"/>
                <w:sz w:val="20"/>
                <w:szCs w:val="20"/>
              </w:rPr>
              <w:t>For non-grouping based beam reporting, support the following reports parameters:</w:t>
            </w:r>
          </w:p>
          <w:p w14:paraId="383CFEBC" w14:textId="77777777" w:rsidR="00F92C60" w:rsidRPr="00C0236D" w:rsidRDefault="00F92C60" w:rsidP="00F92C60">
            <w:pPr>
              <w:widowControl w:val="0"/>
              <w:numPr>
                <w:ilvl w:val="0"/>
                <w:numId w:val="19"/>
              </w:numPr>
              <w:autoSpaceDE w:val="0"/>
              <w:autoSpaceDN w:val="0"/>
              <w:adjustRightInd w:val="0"/>
              <w:ind w:left="1800" w:hanging="360"/>
              <w:rPr>
                <w:b/>
                <w:bCs/>
                <w:color w:val="000000"/>
                <w:kern w:val="24"/>
                <w:sz w:val="20"/>
                <w:szCs w:val="20"/>
              </w:rPr>
            </w:pPr>
            <w:r w:rsidRPr="00C0236D">
              <w:rPr>
                <w:color w:val="000000"/>
                <w:kern w:val="24"/>
                <w:sz w:val="20"/>
                <w:szCs w:val="20"/>
              </w:rPr>
              <w:t>Maximal number of configured Tx beams for beam measurement: K equals 64</w:t>
            </w:r>
          </w:p>
          <w:p w14:paraId="1705502F" w14:textId="14CE1AB5"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Maximal number of configured Tx beams to be reported in one instance: N_max = 2, </w:t>
            </w:r>
            <w:r w:rsidR="005013CC" w:rsidRPr="00C0236D">
              <w:rPr>
                <w:color w:val="000000"/>
                <w:kern w:val="24"/>
                <w:sz w:val="20"/>
                <w:szCs w:val="20"/>
              </w:rPr>
              <w:t>4</w:t>
            </w:r>
            <w:r w:rsidR="005013CC" w:rsidRPr="00C0236D">
              <w:rPr>
                <w:b/>
                <w:bCs/>
                <w:color w:val="000000"/>
                <w:kern w:val="24"/>
                <w:sz w:val="20"/>
                <w:szCs w:val="20"/>
              </w:rPr>
              <w:t xml:space="preserve"> </w:t>
            </w:r>
            <w:r w:rsidR="0064503A" w:rsidRPr="0064503A">
              <w:rPr>
                <w:bCs/>
                <w:color w:val="000000"/>
                <w:kern w:val="24"/>
                <w:sz w:val="20"/>
                <w:szCs w:val="20"/>
              </w:rPr>
              <w:t>where</w:t>
            </w:r>
            <w:r w:rsidRPr="00C0236D">
              <w:rPr>
                <w:color w:val="000000"/>
                <w:kern w:val="24"/>
                <w:sz w:val="20"/>
                <w:szCs w:val="20"/>
              </w:rPr>
              <w:t xml:space="preserve"> a subset of N (N&lt;=N_max where N = 1, 2, 4) beams can be selected by the gNB and indicated to the UE (FFS signaling mechanism)</w:t>
            </w:r>
          </w:p>
          <w:p w14:paraId="41E1E567"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Reporting differential L1-RSRP when multiple beams are reported in one reporting instance. Reference is the largest L1-RSRP in that reporting instance. FFS other reference for differential reporting. </w:t>
            </w:r>
          </w:p>
          <w:p w14:paraId="122A8174"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 xml:space="preserve">FFS applicable reporting channels and number of beams, and associated reporting contents </w:t>
            </w:r>
          </w:p>
          <w:p w14:paraId="03B4FB3D"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FFS: the UE adjusts the L1-RSRP of multiple RS resources according to the power offset between them</w:t>
            </w:r>
          </w:p>
          <w:p w14:paraId="5116FA32"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Bit-width: 7bit for L1-RSRP ranging from -140dBm to -44dBm with 1dB stepping size (analogous with LTE) and 4bit for differential L1-RSRP </w:t>
            </w:r>
          </w:p>
          <w:p w14:paraId="7989425A" w14:textId="77777777" w:rsidR="00F92C60" w:rsidRPr="00C0236D" w:rsidRDefault="00F92C60" w:rsidP="00F92C60">
            <w:pPr>
              <w:widowControl w:val="0"/>
              <w:numPr>
                <w:ilvl w:val="0"/>
                <w:numId w:val="21"/>
              </w:numPr>
              <w:autoSpaceDE w:val="0"/>
              <w:autoSpaceDN w:val="0"/>
              <w:adjustRightInd w:val="0"/>
              <w:ind w:left="2520" w:hanging="360"/>
              <w:rPr>
                <w:color w:val="000000"/>
                <w:kern w:val="24"/>
                <w:sz w:val="20"/>
                <w:szCs w:val="20"/>
              </w:rPr>
            </w:pPr>
            <w:r w:rsidRPr="00C0236D">
              <w:rPr>
                <w:color w:val="000000"/>
                <w:kern w:val="24"/>
                <w:sz w:val="20"/>
                <w:szCs w:val="20"/>
              </w:rPr>
              <w:t xml:space="preserve">FFS stepping size of differential quantization </w:t>
            </w:r>
          </w:p>
          <w:p w14:paraId="49F31E83" w14:textId="77777777" w:rsidR="00F92C60" w:rsidRPr="00C0236D" w:rsidRDefault="00F92C60" w:rsidP="00890C55">
            <w:pPr>
              <w:rPr>
                <w:b/>
                <w:sz w:val="20"/>
                <w:szCs w:val="20"/>
                <w:highlight w:val="green"/>
              </w:rPr>
            </w:pPr>
          </w:p>
          <w:p w14:paraId="36A82C36" w14:textId="77777777" w:rsidR="00890C55" w:rsidRPr="00C0236D" w:rsidRDefault="00890C55" w:rsidP="00890C55">
            <w:pPr>
              <w:rPr>
                <w:b/>
                <w:sz w:val="20"/>
                <w:szCs w:val="20"/>
              </w:rPr>
            </w:pPr>
            <w:r w:rsidRPr="00C0236D">
              <w:rPr>
                <w:b/>
                <w:sz w:val="20"/>
                <w:szCs w:val="20"/>
                <w:highlight w:val="green"/>
              </w:rPr>
              <w:t>Agreement:</w:t>
            </w:r>
          </w:p>
          <w:p w14:paraId="6CB4D7E0" w14:textId="77777777" w:rsidR="00890C55" w:rsidRPr="00C0236D" w:rsidRDefault="00890C55" w:rsidP="00890C55">
            <w:pPr>
              <w:rPr>
                <w:sz w:val="20"/>
                <w:szCs w:val="20"/>
              </w:rPr>
            </w:pPr>
            <w:r w:rsidRPr="00C0236D">
              <w:rPr>
                <w:sz w:val="20"/>
                <w:szCs w:val="20"/>
              </w:rPr>
              <w:t>NR supports the following configurations for beam management where a resource set is formed from multiple beam management CSI-RS resources and is contained within a resource setting:</w:t>
            </w:r>
          </w:p>
          <w:p w14:paraId="70CA986B"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“OFF”</w:t>
            </w:r>
          </w:p>
          <w:p w14:paraId="27463E61" w14:textId="77777777" w:rsidR="00890C55" w:rsidRPr="00C0236D" w:rsidRDefault="00890C55" w:rsidP="00890C55">
            <w:pPr>
              <w:pStyle w:val="RAN1bullet2"/>
              <w:rPr>
                <w:rFonts w:ascii="Times New Roman" w:hAnsi="Times New Roman"/>
              </w:rPr>
            </w:pPr>
            <w:r w:rsidRPr="00C0236D">
              <w:rPr>
                <w:rFonts w:ascii="Times New Roman" w:hAnsi="Times New Roman"/>
              </w:rPr>
              <w:t>UE reports CSI-RS resource indicator(s) within this resource set for CRI feedback</w:t>
            </w:r>
          </w:p>
          <w:p w14:paraId="4CD3CC4E"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“ON”</w:t>
            </w:r>
          </w:p>
          <w:p w14:paraId="7451A799" w14:textId="77777777" w:rsidR="00890C55" w:rsidRPr="00C0236D" w:rsidRDefault="00890C55" w:rsidP="00890C55">
            <w:pPr>
              <w:pStyle w:val="RAN1bullet2"/>
              <w:rPr>
                <w:rFonts w:ascii="Times New Roman" w:hAnsi="Times New Roman"/>
              </w:rPr>
            </w:pPr>
            <w:r w:rsidRPr="00C0236D">
              <w:rPr>
                <w:rFonts w:ascii="Times New Roman" w:hAnsi="Times New Roman"/>
              </w:rPr>
              <w:t>UE does not report CRI</w:t>
            </w:r>
          </w:p>
          <w:p w14:paraId="7B977B8F"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FFS: Further support additional configuration by down selection from the following two alternatives:</w:t>
            </w:r>
          </w:p>
          <w:p w14:paraId="7D6C1B33" w14:textId="77777777" w:rsidR="00890C55" w:rsidRPr="00C0236D" w:rsidRDefault="00890C55" w:rsidP="00890C55">
            <w:pPr>
              <w:pStyle w:val="RAN1bullet2"/>
              <w:rPr>
                <w:rFonts w:ascii="Times New Roman" w:hAnsi="Times New Roman"/>
              </w:rPr>
            </w:pPr>
            <w:r w:rsidRPr="00C0236D">
              <w:rPr>
                <w:rFonts w:ascii="Times New Roman" w:hAnsi="Times New Roman"/>
              </w:rPr>
              <w:t xml:space="preserve">(a) Multiple resource sets, all with repetition = “ON” </w:t>
            </w:r>
          </w:p>
          <w:p w14:paraId="375C7647" w14:textId="77777777" w:rsidR="00890C55" w:rsidRPr="00C0236D" w:rsidRDefault="00890C55" w:rsidP="00890C55">
            <w:pPr>
              <w:pStyle w:val="RAN1bullet3"/>
              <w:rPr>
                <w:rFonts w:ascii="Times New Roman" w:hAnsi="Times New Roman"/>
              </w:rPr>
            </w:pPr>
            <w:r w:rsidRPr="00C0236D">
              <w:rPr>
                <w:rFonts w:ascii="Times New Roman" w:hAnsi="Times New Roman"/>
              </w:rPr>
              <w:t>UE reports CSI-RS resource set indicator(s) for CRI feedback</w:t>
            </w:r>
          </w:p>
          <w:p w14:paraId="71325A48" w14:textId="77777777" w:rsidR="00890C55" w:rsidRPr="00C0236D" w:rsidRDefault="00890C55" w:rsidP="00890C55">
            <w:pPr>
              <w:pStyle w:val="RAN1bullet3"/>
              <w:numPr>
                <w:ilvl w:val="3"/>
                <w:numId w:val="16"/>
              </w:numPr>
              <w:rPr>
                <w:rFonts w:ascii="Times New Roman" w:hAnsi="Times New Roman"/>
              </w:rPr>
            </w:pPr>
            <w:r w:rsidRPr="00C0236D">
              <w:rPr>
                <w:rFonts w:ascii="Times New Roman" w:hAnsi="Times New Roman"/>
              </w:rPr>
              <w:t>FFS: Whether set ID(s) are local within a resource setting or global across all resource settings</w:t>
            </w:r>
          </w:p>
          <w:p w14:paraId="33BE69DA" w14:textId="77777777" w:rsidR="00890C55" w:rsidRPr="00C0236D" w:rsidRDefault="00890C55" w:rsidP="00890C55">
            <w:pPr>
              <w:pStyle w:val="RAN1bullet2"/>
              <w:rPr>
                <w:rFonts w:ascii="Times New Roman" w:hAnsi="Times New Roman"/>
              </w:rPr>
            </w:pPr>
            <w:r w:rsidRPr="00C0236D">
              <w:rPr>
                <w:rFonts w:ascii="Times New Roman" w:hAnsi="Times New Roman"/>
              </w:rPr>
              <w:t>(b) Multiple equal-size resource sets, all with repetition = “OFF”</w:t>
            </w:r>
          </w:p>
          <w:p w14:paraId="2AEFA70A" w14:textId="77777777" w:rsidR="00890C55" w:rsidRPr="00C0236D" w:rsidRDefault="00890C55" w:rsidP="00890C55">
            <w:pPr>
              <w:pStyle w:val="RAN1bullet3"/>
              <w:rPr>
                <w:rFonts w:ascii="Times New Roman" w:hAnsi="Times New Roman"/>
              </w:rPr>
            </w:pPr>
            <w:r w:rsidRPr="00C0236D">
              <w:rPr>
                <w:rFonts w:ascii="Times New Roman" w:hAnsi="Times New Roman"/>
              </w:rPr>
              <w:t>UE reports distinct local CSI-RS resource indicator(s) within one or more resource sets. The UE can assume that the gNB applies the same Tx beams in the same order for each of the sets</w:t>
            </w:r>
          </w:p>
          <w:p w14:paraId="307591FA" w14:textId="77777777" w:rsidR="00D2486B" w:rsidRDefault="00D2486B" w:rsidP="001622D5">
            <w:pPr>
              <w:jc w:val="both"/>
              <w:rPr>
                <w:sz w:val="20"/>
                <w:szCs w:val="20"/>
              </w:rPr>
            </w:pPr>
          </w:p>
        </w:tc>
      </w:tr>
    </w:tbl>
    <w:p w14:paraId="4C0625C1" w14:textId="77777777" w:rsidR="00D0190A" w:rsidRDefault="00D0190A" w:rsidP="001622D5">
      <w:pPr>
        <w:jc w:val="both"/>
        <w:rPr>
          <w:sz w:val="20"/>
          <w:szCs w:val="20"/>
        </w:rPr>
      </w:pPr>
    </w:p>
    <w:p w14:paraId="5BAB42F1" w14:textId="0733B5FE" w:rsidR="00290BD6" w:rsidRDefault="00674721" w:rsidP="001622D5">
      <w:pPr>
        <w:jc w:val="both"/>
        <w:rPr>
          <w:sz w:val="20"/>
          <w:szCs w:val="20"/>
        </w:rPr>
      </w:pPr>
      <w:r>
        <w:rPr>
          <w:sz w:val="20"/>
          <w:szCs w:val="20"/>
        </w:rPr>
        <w:t>After NW configures CSI-RS, SSB or CSI-RS + SSB for UE to measure and UE reports the measurement results to the NW, NW needs to indicate the transmit beam for UE to receive the DL data (PDSC</w:t>
      </w:r>
      <w:r w:rsidR="00DB352E">
        <w:rPr>
          <w:sz w:val="20"/>
          <w:szCs w:val="20"/>
        </w:rPr>
        <w:t xml:space="preserve">H) and control channel (PDCCH). This is particularly important for UE to use the right Rx beam, in addition to provide the QCL information for frequency/time tracking, as well as the channel estimation. </w:t>
      </w:r>
      <w:r w:rsidR="001009D3">
        <w:rPr>
          <w:sz w:val="20"/>
          <w:szCs w:val="20"/>
        </w:rPr>
        <w:t xml:space="preserve">It was agreed </w:t>
      </w:r>
      <w:r w:rsidR="00DF03BB">
        <w:rPr>
          <w:sz w:val="20"/>
          <w:szCs w:val="20"/>
        </w:rPr>
        <w:t>to introduce T</w:t>
      </w:r>
      <w:r w:rsidR="001009D3">
        <w:rPr>
          <w:sz w:val="20"/>
          <w:szCs w:val="20"/>
        </w:rPr>
        <w:t xml:space="preserve">ransmission Configuration Indicator (TCI) </w:t>
      </w:r>
      <w:r w:rsidR="00DF03BB">
        <w:rPr>
          <w:sz w:val="20"/>
          <w:szCs w:val="20"/>
        </w:rPr>
        <w:t>for</w:t>
      </w:r>
      <w:r w:rsidR="00A440D6">
        <w:rPr>
          <w:sz w:val="20"/>
          <w:szCs w:val="20"/>
        </w:rPr>
        <w:t xml:space="preserve"> QCL indication in [3]</w:t>
      </w:r>
    </w:p>
    <w:p w14:paraId="1BFAEB8E" w14:textId="77777777" w:rsidR="00A440D6" w:rsidRDefault="00A440D6" w:rsidP="001622D5">
      <w:pPr>
        <w:jc w:val="both"/>
        <w:rPr>
          <w:sz w:val="20"/>
          <w:szCs w:val="20"/>
        </w:rPr>
      </w:pPr>
    </w:p>
    <w:tbl>
      <w:tblPr>
        <w:tblStyle w:val="TableGrid"/>
        <w:tblW w:w="0" w:type="auto"/>
        <w:tblLook w:val="04A0" w:firstRow="1" w:lastRow="0" w:firstColumn="1" w:lastColumn="0" w:noHBand="0" w:noVBand="1"/>
      </w:tblPr>
      <w:tblGrid>
        <w:gridCol w:w="9629"/>
      </w:tblGrid>
      <w:tr w:rsidR="00A440D6" w14:paraId="4DF87E7C" w14:textId="77777777" w:rsidTr="00A440D6">
        <w:tc>
          <w:tcPr>
            <w:tcW w:w="9629" w:type="dxa"/>
          </w:tcPr>
          <w:p w14:paraId="523FD707" w14:textId="77777777" w:rsidR="00523ED9" w:rsidRPr="00AF2EBB" w:rsidRDefault="00523ED9" w:rsidP="00523ED9">
            <w:pPr>
              <w:rPr>
                <w:b/>
                <w:sz w:val="20"/>
              </w:rPr>
            </w:pPr>
            <w:r w:rsidRPr="00AF2EBB">
              <w:rPr>
                <w:b/>
                <w:sz w:val="20"/>
                <w:highlight w:val="green"/>
              </w:rPr>
              <w:t>Agreement:</w:t>
            </w:r>
          </w:p>
          <w:p w14:paraId="79F52E27" w14:textId="5C41050D" w:rsidR="00A440D6" w:rsidRPr="00523ED9" w:rsidRDefault="00523ED9" w:rsidP="00523ED9">
            <w:pPr>
              <w:rPr>
                <w:szCs w:val="20"/>
              </w:rPr>
            </w:pPr>
            <w:r w:rsidRPr="00AF2EBB">
              <w:rPr>
                <w:sz w:val="20"/>
                <w:szCs w:val="20"/>
              </w:rPr>
              <w:t>A UE is RRC configured with a list of up to M candidate Transmission Configuration Indication (TCI) states at least for the purposes of QCL indication</w:t>
            </w:r>
          </w:p>
        </w:tc>
      </w:tr>
    </w:tbl>
    <w:p w14:paraId="68E5E4E7" w14:textId="77777777" w:rsidR="00A440D6" w:rsidRDefault="00A440D6" w:rsidP="001622D5">
      <w:pPr>
        <w:jc w:val="both"/>
        <w:rPr>
          <w:sz w:val="20"/>
          <w:szCs w:val="20"/>
        </w:rPr>
      </w:pPr>
    </w:p>
    <w:p w14:paraId="728B22F7" w14:textId="76C196E7" w:rsidR="00DB352E" w:rsidRDefault="00146730" w:rsidP="001622D5">
      <w:pPr>
        <w:jc w:val="both"/>
        <w:rPr>
          <w:sz w:val="20"/>
          <w:szCs w:val="20"/>
        </w:rPr>
      </w:pPr>
      <w:r>
        <w:rPr>
          <w:sz w:val="20"/>
          <w:szCs w:val="20"/>
        </w:rPr>
        <w:t>For PDSCH, the TCI is included in the DCI</w:t>
      </w:r>
    </w:p>
    <w:p w14:paraId="4B1201D0" w14:textId="77777777" w:rsidR="00146730" w:rsidRDefault="00146730" w:rsidP="001622D5">
      <w:pPr>
        <w:jc w:val="both"/>
        <w:rPr>
          <w:sz w:val="20"/>
          <w:szCs w:val="20"/>
        </w:rPr>
      </w:pPr>
    </w:p>
    <w:tbl>
      <w:tblPr>
        <w:tblStyle w:val="TableGrid"/>
        <w:tblW w:w="0" w:type="auto"/>
        <w:tblLook w:val="04A0" w:firstRow="1" w:lastRow="0" w:firstColumn="1" w:lastColumn="0" w:noHBand="0" w:noVBand="1"/>
      </w:tblPr>
      <w:tblGrid>
        <w:gridCol w:w="9629"/>
      </w:tblGrid>
      <w:tr w:rsidR="00146730" w14:paraId="25927409" w14:textId="77777777" w:rsidTr="00146730">
        <w:tc>
          <w:tcPr>
            <w:tcW w:w="9629" w:type="dxa"/>
          </w:tcPr>
          <w:p w14:paraId="70A8A753" w14:textId="77777777" w:rsidR="00146730" w:rsidRPr="00146730" w:rsidRDefault="00146730" w:rsidP="00146730">
            <w:pPr>
              <w:rPr>
                <w:b/>
                <w:sz w:val="20"/>
                <w:szCs w:val="20"/>
                <w:highlight w:val="green"/>
                <w:u w:val="single"/>
              </w:rPr>
            </w:pPr>
            <w:r w:rsidRPr="00146730">
              <w:rPr>
                <w:b/>
                <w:sz w:val="20"/>
                <w:szCs w:val="20"/>
                <w:highlight w:val="green"/>
                <w:u w:val="single"/>
              </w:rPr>
              <w:t>Agreement:</w:t>
            </w:r>
          </w:p>
          <w:p w14:paraId="1127FBE3" w14:textId="77777777" w:rsidR="00146730" w:rsidRPr="00146730" w:rsidRDefault="00146730" w:rsidP="00146730">
            <w:pPr>
              <w:numPr>
                <w:ilvl w:val="0"/>
                <w:numId w:val="28"/>
              </w:numPr>
              <w:rPr>
                <w:sz w:val="20"/>
                <w:szCs w:val="20"/>
              </w:rPr>
            </w:pPr>
            <w:r w:rsidRPr="00146730">
              <w:rPr>
                <w:bCs/>
                <w:sz w:val="20"/>
                <w:szCs w:val="20"/>
              </w:rPr>
              <w:t>For QCL indication for PDSCH</w:t>
            </w:r>
            <w:r w:rsidRPr="00146730">
              <w:rPr>
                <w:sz w:val="20"/>
                <w:szCs w:val="20"/>
              </w:rPr>
              <w:t>:</w:t>
            </w:r>
          </w:p>
          <w:p w14:paraId="45F6FA1F" w14:textId="77777777" w:rsidR="00146730" w:rsidRPr="00146730" w:rsidRDefault="00146730" w:rsidP="00146730">
            <w:pPr>
              <w:numPr>
                <w:ilvl w:val="1"/>
                <w:numId w:val="28"/>
              </w:numPr>
              <w:rPr>
                <w:sz w:val="20"/>
                <w:szCs w:val="20"/>
              </w:rPr>
            </w:pPr>
            <w:r w:rsidRPr="00146730">
              <w:rPr>
                <w:sz w:val="20"/>
                <w:szCs w:val="20"/>
              </w:rPr>
              <w:t>When TCI states are used for QCL indication, the UE receives an N-bit TCI field in DCI</w:t>
            </w:r>
          </w:p>
          <w:p w14:paraId="2EE65C1E" w14:textId="77777777" w:rsidR="00146730" w:rsidRPr="00146730" w:rsidRDefault="00146730" w:rsidP="00146730">
            <w:pPr>
              <w:numPr>
                <w:ilvl w:val="2"/>
                <w:numId w:val="28"/>
              </w:numPr>
              <w:rPr>
                <w:sz w:val="20"/>
                <w:szCs w:val="20"/>
              </w:rPr>
            </w:pPr>
            <w:r w:rsidRPr="00146730">
              <w:rPr>
                <w:sz w:val="20"/>
                <w:szCs w:val="20"/>
              </w:rPr>
              <w:lastRenderedPageBreak/>
              <w:t>The UE assumes that the PDSCH DMRS is QCL with the DL RS(s) in the RS Set corresponding to the signaled TCI state</w:t>
            </w:r>
          </w:p>
          <w:p w14:paraId="5668B11B" w14:textId="77777777" w:rsidR="00146730" w:rsidRPr="00146730" w:rsidRDefault="00146730" w:rsidP="00146730">
            <w:pPr>
              <w:numPr>
                <w:ilvl w:val="3"/>
                <w:numId w:val="28"/>
              </w:numPr>
              <w:rPr>
                <w:sz w:val="20"/>
                <w:szCs w:val="20"/>
              </w:rPr>
            </w:pPr>
            <w:r w:rsidRPr="00146730">
              <w:rPr>
                <w:sz w:val="20"/>
                <w:szCs w:val="20"/>
              </w:rPr>
              <w:t>FFS: whether or not a QCL type is configured, configuration details are for further study</w:t>
            </w:r>
          </w:p>
          <w:p w14:paraId="095F3A38" w14:textId="77777777" w:rsidR="00146730" w:rsidRPr="00146730" w:rsidRDefault="00146730" w:rsidP="00146730">
            <w:pPr>
              <w:numPr>
                <w:ilvl w:val="1"/>
                <w:numId w:val="28"/>
              </w:numPr>
              <w:rPr>
                <w:sz w:val="20"/>
                <w:szCs w:val="20"/>
              </w:rPr>
            </w:pPr>
            <w:r w:rsidRPr="00146730">
              <w:rPr>
                <w:sz w:val="20"/>
                <w:szCs w:val="20"/>
              </w:rPr>
              <w:t xml:space="preserve"> Whether or not the TCI field is always present in a given DL-related DCI is FFS</w:t>
            </w:r>
          </w:p>
          <w:p w14:paraId="25492EEB" w14:textId="77777777" w:rsidR="00146730" w:rsidRPr="00146730" w:rsidRDefault="00146730" w:rsidP="00146730">
            <w:pPr>
              <w:numPr>
                <w:ilvl w:val="1"/>
                <w:numId w:val="28"/>
              </w:numPr>
              <w:rPr>
                <w:sz w:val="20"/>
                <w:szCs w:val="20"/>
              </w:rPr>
            </w:pPr>
            <w:r w:rsidRPr="00146730">
              <w:rPr>
                <w:sz w:val="20"/>
                <w:szCs w:val="20"/>
              </w:rPr>
              <w:t>FFS: Whether or not the TCI field is in the same DCI as that containing the PDSCH scheduling assignment</w:t>
            </w:r>
          </w:p>
          <w:p w14:paraId="0399A62C" w14:textId="77777777" w:rsidR="00146730" w:rsidRPr="00146730" w:rsidRDefault="00146730" w:rsidP="00146730">
            <w:pPr>
              <w:numPr>
                <w:ilvl w:val="0"/>
                <w:numId w:val="28"/>
              </w:numPr>
              <w:rPr>
                <w:sz w:val="20"/>
                <w:szCs w:val="20"/>
              </w:rPr>
            </w:pPr>
            <w:r w:rsidRPr="00146730">
              <w:rPr>
                <w:sz w:val="20"/>
                <w:szCs w:val="20"/>
              </w:rPr>
              <w:t>FFS: Timing between when the UE receives a QCL configuration/indication and the first time that the QCL assumption may be applied for demodulation of PDSCH or PDCCH</w:t>
            </w:r>
          </w:p>
          <w:p w14:paraId="094134C7" w14:textId="77777777" w:rsidR="00146730" w:rsidRDefault="00146730" w:rsidP="001622D5">
            <w:pPr>
              <w:jc w:val="both"/>
              <w:rPr>
                <w:sz w:val="20"/>
                <w:szCs w:val="20"/>
              </w:rPr>
            </w:pPr>
          </w:p>
        </w:tc>
      </w:tr>
    </w:tbl>
    <w:p w14:paraId="7EE2CDA3" w14:textId="77777777" w:rsidR="00146730" w:rsidRDefault="00146730" w:rsidP="001622D5">
      <w:pPr>
        <w:jc w:val="both"/>
        <w:rPr>
          <w:sz w:val="20"/>
          <w:szCs w:val="20"/>
        </w:rPr>
      </w:pPr>
    </w:p>
    <w:p w14:paraId="2B54D45A" w14:textId="77777777" w:rsidR="00AC3FBC" w:rsidRDefault="00146730" w:rsidP="001622D5">
      <w:pPr>
        <w:jc w:val="both"/>
        <w:rPr>
          <w:sz w:val="20"/>
          <w:szCs w:val="20"/>
        </w:rPr>
      </w:pPr>
      <w:r>
        <w:rPr>
          <w:sz w:val="20"/>
          <w:szCs w:val="20"/>
        </w:rPr>
        <w:t xml:space="preserve">While </w:t>
      </w:r>
      <w:r w:rsidR="00906CC5">
        <w:rPr>
          <w:sz w:val="20"/>
          <w:szCs w:val="20"/>
        </w:rPr>
        <w:t xml:space="preserve">for PDCCH, </w:t>
      </w:r>
      <w:r w:rsidR="00AC3FBC">
        <w:rPr>
          <w:sz w:val="20"/>
          <w:szCs w:val="20"/>
        </w:rPr>
        <w:t>the QCL information is configured by RRC and MAC-CE signalling</w:t>
      </w:r>
    </w:p>
    <w:tbl>
      <w:tblPr>
        <w:tblStyle w:val="TableGrid"/>
        <w:tblW w:w="0" w:type="auto"/>
        <w:tblLook w:val="04A0" w:firstRow="1" w:lastRow="0" w:firstColumn="1" w:lastColumn="0" w:noHBand="0" w:noVBand="1"/>
      </w:tblPr>
      <w:tblGrid>
        <w:gridCol w:w="9629"/>
      </w:tblGrid>
      <w:tr w:rsidR="00AC3FBC" w14:paraId="625AD93A" w14:textId="77777777" w:rsidTr="00AC3FBC">
        <w:tc>
          <w:tcPr>
            <w:tcW w:w="9629" w:type="dxa"/>
          </w:tcPr>
          <w:p w14:paraId="654C9FC5" w14:textId="77777777" w:rsidR="00AC3FBC" w:rsidRPr="00AC3FBC" w:rsidRDefault="00AC3FBC" w:rsidP="00AC3FBC">
            <w:pPr>
              <w:rPr>
                <w:rFonts w:eastAsia="MS Mincho"/>
                <w:sz w:val="20"/>
                <w:szCs w:val="20"/>
                <w:lang w:eastAsia="ja-JP"/>
              </w:rPr>
            </w:pPr>
            <w:r w:rsidRPr="00AC3FBC">
              <w:rPr>
                <w:rFonts w:eastAsia="MS Mincho"/>
                <w:sz w:val="20"/>
                <w:szCs w:val="20"/>
                <w:highlight w:val="green"/>
                <w:lang w:eastAsia="ja-JP"/>
              </w:rPr>
              <w:t>Agreements:</w:t>
            </w:r>
          </w:p>
          <w:p w14:paraId="65A4C169" w14:textId="77777777" w:rsidR="00AC3FBC" w:rsidRPr="00AC3FBC" w:rsidRDefault="00AC3FBC" w:rsidP="00AC3FBC">
            <w:pPr>
              <w:pStyle w:val="ListParagraph"/>
              <w:numPr>
                <w:ilvl w:val="0"/>
                <w:numId w:val="29"/>
              </w:numPr>
              <w:overflowPunct w:val="0"/>
              <w:autoSpaceDE w:val="0"/>
              <w:autoSpaceDN w:val="0"/>
              <w:adjustRightInd w:val="0"/>
              <w:spacing w:after="180" w:line="259" w:lineRule="auto"/>
              <w:contextualSpacing/>
              <w:textAlignment w:val="baseline"/>
              <w:rPr>
                <w:rFonts w:ascii="Times New Roman" w:hAnsi="Times New Roman"/>
                <w:sz w:val="20"/>
                <w:szCs w:val="20"/>
              </w:rPr>
            </w:pPr>
            <w:r w:rsidRPr="00AC3FBC">
              <w:rPr>
                <w:rFonts w:ascii="Times New Roman" w:hAnsi="Times New Roman"/>
                <w:sz w:val="20"/>
                <w:szCs w:val="20"/>
              </w:rPr>
              <w:t>Configuration of QCL for UE specific NR-PDCCH</w:t>
            </w:r>
            <w:r w:rsidRPr="00AC3FBC">
              <w:rPr>
                <w:rFonts w:ascii="Times New Roman" w:eastAsia="MS Mincho" w:hAnsi="Times New Roman"/>
                <w:sz w:val="20"/>
                <w:szCs w:val="20"/>
              </w:rPr>
              <w:t xml:space="preserve"> is by </w:t>
            </w:r>
            <w:r w:rsidRPr="00AC3FBC">
              <w:rPr>
                <w:rFonts w:ascii="Times New Roman" w:hAnsi="Times New Roman"/>
                <w:sz w:val="20"/>
                <w:szCs w:val="20"/>
              </w:rPr>
              <w:t>RRC and MAC-CE signalling</w:t>
            </w:r>
          </w:p>
          <w:p w14:paraId="7C9CB54E" w14:textId="77777777" w:rsidR="00AC3FBC" w:rsidRPr="00AC3FBC" w:rsidRDefault="00AC3FBC" w:rsidP="00AC3FBC">
            <w:pPr>
              <w:pStyle w:val="ListParagraph"/>
              <w:numPr>
                <w:ilvl w:val="1"/>
                <w:numId w:val="29"/>
              </w:numPr>
              <w:overflowPunct w:val="0"/>
              <w:autoSpaceDE w:val="0"/>
              <w:autoSpaceDN w:val="0"/>
              <w:adjustRightInd w:val="0"/>
              <w:spacing w:after="180" w:line="259" w:lineRule="auto"/>
              <w:contextualSpacing/>
              <w:textAlignment w:val="baseline"/>
              <w:rPr>
                <w:rFonts w:ascii="Times New Roman" w:hAnsi="Times New Roman"/>
                <w:sz w:val="20"/>
                <w:szCs w:val="20"/>
              </w:rPr>
            </w:pPr>
            <w:r w:rsidRPr="00AC3FBC">
              <w:rPr>
                <w:rFonts w:ascii="Times New Roman" w:eastAsia="MS Mincho" w:hAnsi="Times New Roman"/>
                <w:sz w:val="20"/>
                <w:szCs w:val="20"/>
              </w:rPr>
              <w:t>Note that MAC-CE is not always needed</w:t>
            </w:r>
          </w:p>
          <w:p w14:paraId="22E45B36" w14:textId="77777777" w:rsidR="00AC3FBC" w:rsidRPr="00AC3FBC" w:rsidRDefault="00AC3FBC" w:rsidP="00AC3FBC">
            <w:pPr>
              <w:pStyle w:val="ListParagraph"/>
              <w:numPr>
                <w:ilvl w:val="1"/>
                <w:numId w:val="29"/>
              </w:numPr>
              <w:overflowPunct w:val="0"/>
              <w:autoSpaceDE w:val="0"/>
              <w:autoSpaceDN w:val="0"/>
              <w:adjustRightInd w:val="0"/>
              <w:spacing w:after="180"/>
              <w:contextualSpacing/>
              <w:textAlignment w:val="baseline"/>
              <w:rPr>
                <w:rFonts w:ascii="Times New Roman" w:hAnsi="Times New Roman"/>
                <w:sz w:val="20"/>
                <w:szCs w:val="20"/>
              </w:rPr>
            </w:pPr>
            <w:r w:rsidRPr="00AC3FBC">
              <w:rPr>
                <w:rFonts w:ascii="Times New Roman" w:eastAsia="MS Mincho" w:hAnsi="Times New Roman"/>
                <w:sz w:val="20"/>
                <w:szCs w:val="20"/>
              </w:rPr>
              <w:t>FFS: necessity of DCI signalling</w:t>
            </w:r>
          </w:p>
          <w:p w14:paraId="39A0A15A" w14:textId="1136CB3E" w:rsidR="00AC3FBC" w:rsidRPr="00AC3FBC" w:rsidRDefault="00AC3FBC" w:rsidP="00AC3FBC">
            <w:pPr>
              <w:pStyle w:val="ListParagraph"/>
              <w:numPr>
                <w:ilvl w:val="1"/>
                <w:numId w:val="29"/>
              </w:numPr>
              <w:overflowPunct w:val="0"/>
              <w:autoSpaceDE w:val="0"/>
              <w:autoSpaceDN w:val="0"/>
              <w:adjustRightInd w:val="0"/>
              <w:spacing w:after="180"/>
              <w:contextualSpacing/>
              <w:textAlignment w:val="baseline"/>
              <w:rPr>
                <w:rFonts w:ascii="Times New Roman" w:hAnsi="Times New Roman"/>
                <w:sz w:val="20"/>
                <w:szCs w:val="20"/>
              </w:rPr>
            </w:pPr>
            <w:r w:rsidRPr="00AC3FBC">
              <w:rPr>
                <w:rFonts w:ascii="Times New Roman" w:hAnsi="Times New Roman"/>
                <w:sz w:val="20"/>
                <w:szCs w:val="20"/>
              </w:rPr>
              <w:t>Note: For example</w:t>
            </w:r>
            <w:r w:rsidRPr="00AC3FBC">
              <w:rPr>
                <w:rFonts w:ascii="Times New Roman" w:eastAsia="MS Mincho" w:hAnsi="Times New Roman"/>
                <w:sz w:val="20"/>
                <w:szCs w:val="20"/>
              </w:rPr>
              <w:t xml:space="preserve">, </w:t>
            </w:r>
            <w:r w:rsidRPr="00AC3FBC">
              <w:rPr>
                <w:rFonts w:ascii="Times New Roman" w:hAnsi="Times New Roman"/>
                <w:sz w:val="20"/>
                <w:szCs w:val="20"/>
              </w:rPr>
              <w:t>DL RS QCLed with DMRS of PDCCH for delay spread, Doppler spread, Doppler shift, and average delay parameters, spatial parameters</w:t>
            </w:r>
          </w:p>
        </w:tc>
      </w:tr>
    </w:tbl>
    <w:p w14:paraId="2A67BB8D" w14:textId="77777777" w:rsidR="00AC3FBC" w:rsidRDefault="00AC3FBC" w:rsidP="001622D5">
      <w:pPr>
        <w:jc w:val="both"/>
        <w:rPr>
          <w:sz w:val="20"/>
          <w:szCs w:val="20"/>
        </w:rPr>
      </w:pPr>
    </w:p>
    <w:p w14:paraId="79233423" w14:textId="04C79DD6" w:rsidR="00522257" w:rsidRDefault="00BE4DC3" w:rsidP="001622D5">
      <w:pPr>
        <w:jc w:val="both"/>
        <w:rPr>
          <w:sz w:val="20"/>
          <w:szCs w:val="20"/>
        </w:rPr>
      </w:pPr>
      <w:r>
        <w:rPr>
          <w:sz w:val="20"/>
          <w:szCs w:val="20"/>
        </w:rPr>
        <w:t xml:space="preserve">The main purpose of beam measurement and reporting is to track the beam change due to various reasons, such as UE movement, UE rotation, obstacle passing by, etc. </w:t>
      </w:r>
      <w:r w:rsidR="00872E79">
        <w:rPr>
          <w:sz w:val="20"/>
          <w:szCs w:val="20"/>
        </w:rPr>
        <w:t xml:space="preserve">Therefore, </w:t>
      </w:r>
      <w:r w:rsidR="00522257">
        <w:rPr>
          <w:sz w:val="20"/>
          <w:szCs w:val="20"/>
        </w:rPr>
        <w:t xml:space="preserve">beam measurement </w:t>
      </w:r>
      <w:r w:rsidR="0073415E">
        <w:rPr>
          <w:sz w:val="20"/>
          <w:szCs w:val="20"/>
        </w:rPr>
        <w:t xml:space="preserve">and </w:t>
      </w:r>
      <w:r w:rsidR="00522257">
        <w:rPr>
          <w:sz w:val="20"/>
          <w:szCs w:val="20"/>
        </w:rPr>
        <w:t xml:space="preserve">reporting </w:t>
      </w:r>
      <w:r w:rsidR="00872E79">
        <w:rPr>
          <w:sz w:val="20"/>
          <w:szCs w:val="20"/>
        </w:rPr>
        <w:t xml:space="preserve">has the following </w:t>
      </w:r>
      <w:r w:rsidR="00522257">
        <w:rPr>
          <w:sz w:val="20"/>
          <w:szCs w:val="20"/>
        </w:rPr>
        <w:t>requirement</w:t>
      </w:r>
    </w:p>
    <w:p w14:paraId="5BCD0366" w14:textId="77777777" w:rsidR="00EB09F3" w:rsidRDefault="00EB09F3" w:rsidP="001622D5">
      <w:pPr>
        <w:jc w:val="both"/>
        <w:rPr>
          <w:sz w:val="20"/>
          <w:szCs w:val="20"/>
        </w:rPr>
      </w:pPr>
    </w:p>
    <w:p w14:paraId="2661236D" w14:textId="420ED357" w:rsidR="00522257" w:rsidRPr="000E2D0E"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6509BFC5" w14:textId="45538102" w:rsidR="00522257"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to </w:t>
      </w:r>
      <w:r w:rsidR="009024C4">
        <w:rPr>
          <w:rFonts w:ascii="Times New Roman" w:eastAsia="Malgun Gothic" w:hAnsi="Times New Roman"/>
          <w:sz w:val="20"/>
          <w:szCs w:val="20"/>
          <w:lang w:eastAsia="zh-CN"/>
        </w:rPr>
        <w:t>various</w:t>
      </w:r>
      <w:r w:rsidR="009024C4" w:rsidRPr="000E2D0E">
        <w:rPr>
          <w:rFonts w:ascii="Times New Roman" w:eastAsia="Malgun Gothic" w:hAnsi="Times New Roman"/>
          <w:sz w:val="20"/>
          <w:szCs w:val="20"/>
          <w:lang w:eastAsia="zh-CN"/>
        </w:rPr>
        <w:t xml:space="preserve"> </w:t>
      </w:r>
      <w:r w:rsidRPr="000E2D0E">
        <w:rPr>
          <w:rFonts w:ascii="Times New Roman" w:eastAsia="Malgun Gothic" w:hAnsi="Times New Roman"/>
          <w:sz w:val="20"/>
          <w:szCs w:val="20"/>
          <w:lang w:eastAsia="zh-CN"/>
        </w:rPr>
        <w:t>mobility situation</w:t>
      </w:r>
      <w:r w:rsidR="009024C4">
        <w:rPr>
          <w:rFonts w:ascii="Times New Roman" w:eastAsia="Malgun Gothic" w:hAnsi="Times New Roman"/>
          <w:sz w:val="20"/>
          <w:szCs w:val="20"/>
          <w:lang w:eastAsia="zh-CN"/>
        </w:rPr>
        <w:t>s</w:t>
      </w:r>
      <w:r w:rsidRPr="000E2D0E">
        <w:rPr>
          <w:rFonts w:ascii="Times New Roman" w:eastAsia="Malgun Gothic" w:hAnsi="Times New Roman"/>
          <w:sz w:val="20"/>
          <w:szCs w:val="20"/>
          <w:lang w:eastAsia="zh-CN"/>
        </w:rPr>
        <w:t xml:space="preserve"> </w:t>
      </w:r>
    </w:p>
    <w:p w14:paraId="20134BFB" w14:textId="549FBE1A" w:rsidR="0012647B" w:rsidRDefault="0012647B" w:rsidP="0012647B">
      <w:pPr>
        <w:jc w:val="both"/>
        <w:rPr>
          <w:sz w:val="20"/>
          <w:szCs w:val="20"/>
        </w:rPr>
      </w:pPr>
    </w:p>
    <w:p w14:paraId="0F4CD6E6" w14:textId="4F6F9E55" w:rsidR="00A5758E" w:rsidRPr="0012647B" w:rsidRDefault="00A5758E" w:rsidP="0012647B">
      <w:pPr>
        <w:jc w:val="both"/>
        <w:rPr>
          <w:sz w:val="20"/>
          <w:szCs w:val="20"/>
        </w:rPr>
      </w:pPr>
      <w:r>
        <w:rPr>
          <w:sz w:val="20"/>
          <w:szCs w:val="20"/>
        </w:rPr>
        <w:t>With the above requirements in mind, we discuss some of the techniques that could be used to improve the beam measurement/reporting response time and/or reduce the overhead of reference signals/UE reporting</w:t>
      </w:r>
      <w:r w:rsidR="006E3D49">
        <w:rPr>
          <w:sz w:val="20"/>
          <w:szCs w:val="20"/>
        </w:rPr>
        <w:t>.</w:t>
      </w:r>
    </w:p>
    <w:p w14:paraId="1340DBA4" w14:textId="1100D086" w:rsidR="00365CF3" w:rsidRPr="00365CF3" w:rsidRDefault="00F74BF6" w:rsidP="00365CF3">
      <w:pPr>
        <w:pStyle w:val="Heading1"/>
      </w:pPr>
      <w:r>
        <w:t>UE Even</w:t>
      </w:r>
      <w:r w:rsidR="00BD7650">
        <w:t>t</w:t>
      </w:r>
      <w:r>
        <w:t xml:space="preserve"> Based Aperiodic Beam Measurement Reporting</w:t>
      </w:r>
    </w:p>
    <w:p w14:paraId="3051E45E" w14:textId="0D700679" w:rsidR="00A533BF" w:rsidRDefault="00A533BF" w:rsidP="00522257">
      <w:pPr>
        <w:jc w:val="both"/>
        <w:rPr>
          <w:sz w:val="20"/>
          <w:szCs w:val="20"/>
        </w:rPr>
      </w:pPr>
      <w:r>
        <w:rPr>
          <w:sz w:val="20"/>
          <w:szCs w:val="20"/>
        </w:rPr>
        <w:t>When periodic or semi-persistent refer</w:t>
      </w:r>
      <w:r w:rsidR="00610EDC">
        <w:rPr>
          <w:sz w:val="20"/>
          <w:szCs w:val="20"/>
        </w:rPr>
        <w:t>ence signals (CSI-RS, or SSB) are</w:t>
      </w:r>
      <w:r>
        <w:rPr>
          <w:sz w:val="20"/>
          <w:szCs w:val="20"/>
        </w:rPr>
        <w:t xml:space="preserve"> configured, the simplest solution is for UE to make measurement report periodically. However, this approach has the following limitation,</w:t>
      </w:r>
    </w:p>
    <w:p w14:paraId="14CBD038" w14:textId="77777777" w:rsidR="002A547A" w:rsidRDefault="002A547A" w:rsidP="00522257">
      <w:pPr>
        <w:jc w:val="both"/>
        <w:rPr>
          <w:sz w:val="20"/>
          <w:szCs w:val="20"/>
        </w:rPr>
      </w:pPr>
    </w:p>
    <w:p w14:paraId="744C6609" w14:textId="7E9A774C" w:rsidR="00115EAC" w:rsidRDefault="00115EAC"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t xml:space="preserve">It is hard for the gNB to optimally configure the periodicity of reference signals as gNB has less knowledge about the actual </w:t>
      </w:r>
      <w:r w:rsidR="009D7272">
        <w:rPr>
          <w:rFonts w:ascii="Times New Roman" w:eastAsia="Malgun Gothic" w:hAnsi="Times New Roman"/>
          <w:sz w:val="20"/>
          <w:szCs w:val="20"/>
          <w:lang w:eastAsia="zh-CN"/>
        </w:rPr>
        <w:t>mobility situation</w:t>
      </w:r>
      <w:r>
        <w:rPr>
          <w:rFonts w:ascii="Times New Roman" w:eastAsia="Malgun Gothic" w:hAnsi="Times New Roman"/>
          <w:sz w:val="20"/>
          <w:szCs w:val="20"/>
          <w:lang w:eastAsia="zh-CN"/>
        </w:rPr>
        <w:t xml:space="preserve"> compared to UE</w:t>
      </w:r>
    </w:p>
    <w:p w14:paraId="348CA1E8" w14:textId="721B7B8B" w:rsidR="00F942F5" w:rsidRDefault="00F942F5"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t>To ensure robust beam management, frequen</w:t>
      </w:r>
      <w:r w:rsidR="007F7004">
        <w:rPr>
          <w:rFonts w:ascii="Times New Roman" w:eastAsia="Malgun Gothic" w:hAnsi="Times New Roman"/>
          <w:sz w:val="20"/>
          <w:szCs w:val="20"/>
          <w:lang w:eastAsia="zh-CN"/>
        </w:rPr>
        <w:t>t</w:t>
      </w:r>
      <w:r>
        <w:rPr>
          <w:rFonts w:ascii="Times New Roman" w:eastAsia="Malgun Gothic" w:hAnsi="Times New Roman"/>
          <w:sz w:val="20"/>
          <w:szCs w:val="20"/>
          <w:lang w:eastAsia="zh-CN"/>
        </w:rPr>
        <w:t xml:space="preserve"> reference signals and report</w:t>
      </w:r>
      <w:r w:rsidR="007F7004">
        <w:rPr>
          <w:rFonts w:ascii="Times New Roman" w:eastAsia="Malgun Gothic" w:hAnsi="Times New Roman"/>
          <w:sz w:val="20"/>
          <w:szCs w:val="20"/>
          <w:lang w:eastAsia="zh-CN"/>
        </w:rPr>
        <w:t>s</w:t>
      </w:r>
      <w:r w:rsidR="004F6122">
        <w:rPr>
          <w:rFonts w:ascii="Times New Roman" w:eastAsia="Malgun Gothic" w:hAnsi="Times New Roman"/>
          <w:sz w:val="20"/>
          <w:szCs w:val="20"/>
          <w:lang w:eastAsia="zh-CN"/>
        </w:rPr>
        <w:t xml:space="preserve"> are</w:t>
      </w:r>
      <w:r>
        <w:rPr>
          <w:rFonts w:ascii="Times New Roman" w:eastAsia="Malgun Gothic" w:hAnsi="Times New Roman"/>
          <w:sz w:val="20"/>
          <w:szCs w:val="20"/>
          <w:lang w:eastAsia="zh-CN"/>
        </w:rPr>
        <w:t xml:space="preserve"> needed which </w:t>
      </w:r>
      <w:r w:rsidR="0068771A">
        <w:rPr>
          <w:rFonts w:ascii="Times New Roman" w:eastAsia="Malgun Gothic" w:hAnsi="Times New Roman"/>
          <w:sz w:val="20"/>
          <w:szCs w:val="20"/>
          <w:lang w:eastAsia="zh-CN"/>
        </w:rPr>
        <w:t xml:space="preserve">can </w:t>
      </w:r>
      <w:r>
        <w:rPr>
          <w:rFonts w:ascii="Times New Roman" w:eastAsia="Malgun Gothic" w:hAnsi="Times New Roman"/>
          <w:sz w:val="20"/>
          <w:szCs w:val="20"/>
          <w:lang w:eastAsia="zh-CN"/>
        </w:rPr>
        <w:t>cause unnecessary overhead.</w:t>
      </w:r>
    </w:p>
    <w:p w14:paraId="11505028" w14:textId="6F2167BC" w:rsidR="00F942F5" w:rsidRDefault="00F942F5"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t xml:space="preserve">Frequent periodic </w:t>
      </w:r>
      <w:r w:rsidR="00975292">
        <w:rPr>
          <w:rFonts w:ascii="Times New Roman" w:eastAsia="Malgun Gothic" w:hAnsi="Times New Roman"/>
          <w:sz w:val="20"/>
          <w:szCs w:val="20"/>
          <w:lang w:eastAsia="zh-CN"/>
        </w:rPr>
        <w:t xml:space="preserve">measurement </w:t>
      </w:r>
      <w:r>
        <w:rPr>
          <w:rFonts w:ascii="Times New Roman" w:eastAsia="Malgun Gothic" w:hAnsi="Times New Roman"/>
          <w:sz w:val="20"/>
          <w:szCs w:val="20"/>
          <w:lang w:eastAsia="zh-CN"/>
        </w:rPr>
        <w:t>reporting can also negatively impact the UE power consumption</w:t>
      </w:r>
    </w:p>
    <w:p w14:paraId="3BC5CAF1" w14:textId="77777777" w:rsidR="00BD7650" w:rsidRDefault="00BD7650" w:rsidP="001622D5">
      <w:pPr>
        <w:jc w:val="both"/>
        <w:rPr>
          <w:sz w:val="20"/>
          <w:szCs w:val="20"/>
        </w:rPr>
      </w:pPr>
    </w:p>
    <w:p w14:paraId="7D8F61BE" w14:textId="5507E0DC" w:rsidR="005B3064" w:rsidRDefault="00503335" w:rsidP="005B3064">
      <w:pPr>
        <w:jc w:val="both"/>
        <w:rPr>
          <w:sz w:val="20"/>
          <w:szCs w:val="20"/>
        </w:rPr>
      </w:pPr>
      <w:r>
        <w:rPr>
          <w:sz w:val="20"/>
          <w:szCs w:val="20"/>
        </w:rPr>
        <w:t xml:space="preserve">On the other side, </w:t>
      </w:r>
      <w:r w:rsidR="00AA4364">
        <w:rPr>
          <w:sz w:val="20"/>
          <w:szCs w:val="20"/>
        </w:rPr>
        <w:t>e</w:t>
      </w:r>
      <w:r w:rsidR="00AA4364" w:rsidRPr="005B3064">
        <w:rPr>
          <w:sz w:val="20"/>
          <w:szCs w:val="20"/>
        </w:rPr>
        <w:t>vent-based</w:t>
      </w:r>
      <w:r w:rsidR="005B3064" w:rsidRPr="005B3064">
        <w:rPr>
          <w:sz w:val="20"/>
          <w:szCs w:val="20"/>
        </w:rPr>
        <w:t xml:space="preserve"> measurement report mechanism has been proved to effectively maintain good mobility service for LTE/UMTS etc. and thus deserved to be visited for beam mobility maintenance</w:t>
      </w:r>
      <w:r w:rsidR="005079F9">
        <w:rPr>
          <w:sz w:val="20"/>
          <w:szCs w:val="20"/>
        </w:rPr>
        <w:t>. Wh</w:t>
      </w:r>
      <w:r w:rsidR="004875AC">
        <w:rPr>
          <w:sz w:val="20"/>
          <w:szCs w:val="20"/>
        </w:rPr>
        <w:t xml:space="preserve">ile previous RATs, such as UMTS and </w:t>
      </w:r>
      <w:r w:rsidR="005079F9">
        <w:rPr>
          <w:sz w:val="20"/>
          <w:szCs w:val="20"/>
        </w:rPr>
        <w:t xml:space="preserve">LTE, focuses on the cell level mobility management, beam management can be viewed as the beam level mobility where similar concept can be applied in order to reduce the overhead while ensure robust mobility performance.   </w:t>
      </w:r>
    </w:p>
    <w:p w14:paraId="05A02A84" w14:textId="77777777" w:rsidR="005079F9" w:rsidRDefault="005079F9" w:rsidP="005B3064">
      <w:pPr>
        <w:jc w:val="both"/>
        <w:rPr>
          <w:sz w:val="20"/>
          <w:szCs w:val="20"/>
        </w:rPr>
      </w:pPr>
    </w:p>
    <w:p w14:paraId="6C8BCE36" w14:textId="0BD07240" w:rsidR="005079F9" w:rsidRDefault="00FB60B2" w:rsidP="005B3064">
      <w:pPr>
        <w:jc w:val="both"/>
        <w:rPr>
          <w:sz w:val="20"/>
          <w:szCs w:val="20"/>
        </w:rPr>
      </w:pPr>
      <w:r w:rsidRPr="00A25F99">
        <w:rPr>
          <w:i/>
          <w:sz w:val="20"/>
          <w:szCs w:val="20"/>
          <w:u w:val="single"/>
        </w:rPr>
        <w:t>For event based aperiodic beam measurement reporting, UE only triggers mobility event report when cert</w:t>
      </w:r>
      <w:r w:rsidR="005D2414">
        <w:rPr>
          <w:i/>
          <w:sz w:val="20"/>
          <w:szCs w:val="20"/>
          <w:u w:val="single"/>
        </w:rPr>
        <w:t>ain predefined condition is met.</w:t>
      </w:r>
      <w:r w:rsidR="00E75A2E">
        <w:rPr>
          <w:sz w:val="20"/>
          <w:szCs w:val="20"/>
        </w:rPr>
        <w:t xml:space="preserve"> Below are a few examples of the mobility even used in LTE and UMTS</w:t>
      </w:r>
    </w:p>
    <w:p w14:paraId="5C82A300" w14:textId="77777777" w:rsidR="00E75A2E" w:rsidRDefault="00E75A2E" w:rsidP="005B3064">
      <w:pPr>
        <w:jc w:val="both"/>
        <w:rPr>
          <w:sz w:val="20"/>
          <w:szCs w:val="20"/>
        </w:rPr>
      </w:pPr>
    </w:p>
    <w:p w14:paraId="0A7DC831" w14:textId="13EEF969" w:rsidR="00E75A2E" w:rsidRPr="003D6556" w:rsidRDefault="00E75A2E" w:rsidP="005B3064">
      <w:pPr>
        <w:jc w:val="both"/>
        <w:rPr>
          <w:sz w:val="20"/>
          <w:szCs w:val="20"/>
        </w:rPr>
      </w:pPr>
      <w:r w:rsidRPr="003D6556">
        <w:rPr>
          <w:sz w:val="20"/>
          <w:szCs w:val="20"/>
        </w:rPr>
        <w:t>LTE</w:t>
      </w:r>
    </w:p>
    <w:p w14:paraId="203BDF27" w14:textId="33B60682" w:rsidR="00E86F15" w:rsidRPr="003D6556" w:rsidRDefault="00F62AE0" w:rsidP="005F3A27">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A1: Serving </w:t>
      </w:r>
      <w:r w:rsidR="00D12889" w:rsidRPr="003D6556">
        <w:rPr>
          <w:rFonts w:ascii="Times New Roman" w:hAnsi="Times New Roman"/>
          <w:sz w:val="20"/>
          <w:szCs w:val="20"/>
        </w:rPr>
        <w:t xml:space="preserve">cell </w:t>
      </w:r>
      <w:r w:rsidR="00E86F15" w:rsidRPr="003D6556">
        <w:rPr>
          <w:rFonts w:ascii="Times New Roman" w:hAnsi="Times New Roman"/>
          <w:sz w:val="20"/>
          <w:szCs w:val="20"/>
        </w:rPr>
        <w:t>becomes better than threshold</w:t>
      </w:r>
    </w:p>
    <w:p w14:paraId="1679727C" w14:textId="5857E244" w:rsidR="00E86F15" w:rsidRPr="003D6556" w:rsidRDefault="00F62AE0" w:rsidP="005F3A27">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A2: Serving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worse than threshold</w:t>
      </w:r>
    </w:p>
    <w:p w14:paraId="73BD6F12" w14:textId="3E9028AA" w:rsidR="00E86F15" w:rsidRPr="003D6556" w:rsidRDefault="00F62AE0" w:rsidP="00E86F15">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A3: </w:t>
      </w:r>
      <w:r w:rsidR="00D12889" w:rsidRPr="003D6556">
        <w:rPr>
          <w:rFonts w:ascii="Times New Roman" w:hAnsi="Times New Roman"/>
          <w:sz w:val="20"/>
          <w:szCs w:val="20"/>
        </w:rPr>
        <w:t>Neighbor</w:t>
      </w:r>
      <w:r w:rsidR="00E86F15"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offset better than PCell</w:t>
      </w:r>
    </w:p>
    <w:p w14:paraId="246A53BB" w14:textId="3B74D30E" w:rsidR="00E86F15" w:rsidRPr="003D6556" w:rsidRDefault="00F62AE0" w:rsidP="00E86F15">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A4: </w:t>
      </w:r>
      <w:r w:rsidR="00D12889" w:rsidRPr="003D6556">
        <w:rPr>
          <w:rFonts w:ascii="Times New Roman" w:hAnsi="Times New Roman"/>
          <w:sz w:val="20"/>
          <w:szCs w:val="20"/>
        </w:rPr>
        <w:t>Neighbor</w:t>
      </w:r>
      <w:r w:rsidR="00E86F15"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better than threshold</w:t>
      </w:r>
    </w:p>
    <w:p w14:paraId="77FD27AD" w14:textId="4A6DBC16" w:rsidR="00E86F15" w:rsidRPr="003D6556" w:rsidRDefault="00E86F15" w:rsidP="00E86F15">
      <w:pPr>
        <w:jc w:val="both"/>
        <w:rPr>
          <w:sz w:val="20"/>
          <w:szCs w:val="20"/>
        </w:rPr>
      </w:pPr>
      <w:r w:rsidRPr="003D6556">
        <w:rPr>
          <w:sz w:val="20"/>
          <w:szCs w:val="20"/>
        </w:rPr>
        <w:t>UMTS</w:t>
      </w:r>
    </w:p>
    <w:p w14:paraId="7931B69E" w14:textId="6301490E" w:rsidR="00F62AE0" w:rsidRPr="003D6556" w:rsidRDefault="00F62AE0" w:rsidP="00F62AE0">
      <w:pPr>
        <w:pStyle w:val="ListParagraph"/>
        <w:numPr>
          <w:ilvl w:val="0"/>
          <w:numId w:val="26"/>
        </w:numPr>
        <w:rPr>
          <w:rFonts w:ascii="Times New Roman" w:hAnsi="Times New Roman"/>
          <w:sz w:val="20"/>
          <w:szCs w:val="20"/>
        </w:rPr>
      </w:pPr>
      <w:r w:rsidRPr="003D6556">
        <w:rPr>
          <w:rFonts w:ascii="Times New Roman" w:hAnsi="Times New Roman"/>
          <w:sz w:val="20"/>
          <w:szCs w:val="20"/>
        </w:rPr>
        <w:t>Event 1a:</w:t>
      </w:r>
      <w:r w:rsidR="00097302" w:rsidRPr="003D6556">
        <w:rPr>
          <w:rFonts w:ascii="Times New Roman" w:hAnsi="Times New Roman"/>
          <w:sz w:val="20"/>
          <w:szCs w:val="20"/>
        </w:rPr>
        <w:t xml:space="preserve"> a cell</w:t>
      </w:r>
      <w:r w:rsidRPr="003D6556">
        <w:rPr>
          <w:rFonts w:ascii="Times New Roman" w:hAnsi="Times New Roman"/>
          <w:sz w:val="20"/>
          <w:szCs w:val="20"/>
        </w:rPr>
        <w:t xml:space="preserve"> enters the reporting range, i.e. add a cell to active set.</w:t>
      </w:r>
    </w:p>
    <w:p w14:paraId="1848B6E7" w14:textId="4FDE74D6" w:rsidR="00F62AE0" w:rsidRPr="003D6556" w:rsidRDefault="00F62AE0" w:rsidP="00F62AE0">
      <w:pPr>
        <w:pStyle w:val="ListParagraph"/>
        <w:numPr>
          <w:ilvl w:val="0"/>
          <w:numId w:val="26"/>
        </w:numPr>
        <w:rPr>
          <w:rFonts w:ascii="Times New Roman" w:hAnsi="Times New Roman"/>
          <w:sz w:val="20"/>
          <w:szCs w:val="20"/>
        </w:rPr>
      </w:pPr>
      <w:r w:rsidRPr="003D6556">
        <w:rPr>
          <w:rFonts w:ascii="Times New Roman" w:hAnsi="Times New Roman"/>
          <w:sz w:val="20"/>
          <w:szCs w:val="20"/>
        </w:rPr>
        <w:t xml:space="preserve">Event 1b: a </w:t>
      </w:r>
      <w:r w:rsidR="00097302" w:rsidRPr="003D6556">
        <w:rPr>
          <w:rFonts w:ascii="Times New Roman" w:hAnsi="Times New Roman"/>
          <w:sz w:val="20"/>
          <w:szCs w:val="20"/>
        </w:rPr>
        <w:t>cell</w:t>
      </w:r>
      <w:r w:rsidRPr="003D6556">
        <w:rPr>
          <w:rFonts w:ascii="Times New Roman" w:hAnsi="Times New Roman"/>
          <w:sz w:val="20"/>
          <w:szCs w:val="20"/>
        </w:rPr>
        <w:t xml:space="preserve"> leaves the reporting range, i.e. removed a cell from active set.</w:t>
      </w:r>
    </w:p>
    <w:p w14:paraId="5E11276C" w14:textId="0BD19D00" w:rsidR="00F62AE0" w:rsidRPr="00F62AE0" w:rsidRDefault="00F62AE0" w:rsidP="00F62AE0">
      <w:pPr>
        <w:pStyle w:val="ListParagraph"/>
        <w:numPr>
          <w:ilvl w:val="0"/>
          <w:numId w:val="26"/>
        </w:numPr>
        <w:rPr>
          <w:sz w:val="20"/>
          <w:szCs w:val="20"/>
        </w:rPr>
      </w:pPr>
      <w:r w:rsidRPr="003D6556">
        <w:rPr>
          <w:rFonts w:ascii="Times New Roman" w:hAnsi="Times New Roman"/>
          <w:sz w:val="20"/>
          <w:szCs w:val="20"/>
        </w:rPr>
        <w:t xml:space="preserve">Event 1d: </w:t>
      </w:r>
      <w:r w:rsidR="00D12889" w:rsidRPr="003D6556">
        <w:rPr>
          <w:rFonts w:ascii="Times New Roman" w:hAnsi="Times New Roman"/>
          <w:sz w:val="20"/>
          <w:szCs w:val="20"/>
        </w:rPr>
        <w:t>Neighbor</w:t>
      </w:r>
      <w:r w:rsidR="000B3207"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0B3207" w:rsidRPr="003D6556">
        <w:rPr>
          <w:rFonts w:ascii="Times New Roman" w:hAnsi="Times New Roman"/>
          <w:sz w:val="20"/>
          <w:szCs w:val="20"/>
        </w:rPr>
        <w:t>becomes offset better than PCell</w:t>
      </w:r>
      <w:r w:rsidRPr="003D6556">
        <w:rPr>
          <w:rFonts w:ascii="Times New Roman" w:hAnsi="Times New Roman"/>
          <w:sz w:val="20"/>
          <w:szCs w:val="20"/>
        </w:rPr>
        <w:t>.</w:t>
      </w:r>
    </w:p>
    <w:p w14:paraId="0D7A616C" w14:textId="77777777" w:rsidR="00E86F15" w:rsidRDefault="00E86F15" w:rsidP="00E86F15">
      <w:pPr>
        <w:jc w:val="both"/>
        <w:rPr>
          <w:rFonts w:eastAsia="SimSun"/>
          <w:b/>
          <w:bCs/>
          <w:i/>
          <w:sz w:val="20"/>
          <w:szCs w:val="20"/>
          <w:u w:val="single"/>
        </w:rPr>
      </w:pPr>
    </w:p>
    <w:p w14:paraId="69247C9F" w14:textId="274E8228" w:rsidR="00D12889" w:rsidRDefault="00D12889" w:rsidP="00E86F15">
      <w:pPr>
        <w:jc w:val="both"/>
        <w:rPr>
          <w:rFonts w:eastAsia="SimSun"/>
          <w:b/>
          <w:bCs/>
          <w:i/>
          <w:sz w:val="20"/>
          <w:szCs w:val="20"/>
          <w:u w:val="single"/>
        </w:rPr>
      </w:pPr>
    </w:p>
    <w:p w14:paraId="761FC854" w14:textId="77777777" w:rsidR="00E04ED7" w:rsidRDefault="002F5C0D" w:rsidP="00E04ED7">
      <w:pPr>
        <w:keepNext/>
        <w:jc w:val="both"/>
      </w:pPr>
      <w:r w:rsidRPr="002F5C0D">
        <w:rPr>
          <w:rFonts w:eastAsia="SimSun"/>
          <w:b/>
          <w:bCs/>
          <w:i/>
          <w:noProof/>
          <w:sz w:val="20"/>
          <w:szCs w:val="20"/>
          <w:u w:val="single"/>
        </w:rPr>
        <w:lastRenderedPageBreak/>
        <w:drawing>
          <wp:inline distT="0" distB="0" distL="0" distR="0" wp14:anchorId="18FF5E40" wp14:editId="6577AD6D">
            <wp:extent cx="6120765" cy="1870710"/>
            <wp:effectExtent l="0" t="0" r="63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870710"/>
                    </a:xfrm>
                    <a:prstGeom prst="rect">
                      <a:avLst/>
                    </a:prstGeom>
                  </pic:spPr>
                </pic:pic>
              </a:graphicData>
            </a:graphic>
          </wp:inline>
        </w:drawing>
      </w:r>
    </w:p>
    <w:p w14:paraId="09E408B5" w14:textId="4E42C7FC" w:rsidR="002F5C0D" w:rsidRPr="00D31995" w:rsidRDefault="00E04ED7" w:rsidP="00E04ED7">
      <w:pPr>
        <w:pStyle w:val="Caption"/>
        <w:rPr>
          <w:rFonts w:eastAsia="SimSun"/>
          <w:b w:val="0"/>
          <w:bCs w:val="0"/>
          <w:i/>
          <w:sz w:val="20"/>
          <w:szCs w:val="20"/>
          <w:u w:val="single"/>
        </w:rPr>
      </w:pPr>
      <w:bookmarkStart w:id="1" w:name="_Ref498330851"/>
      <w:r w:rsidRPr="00D31995">
        <w:rPr>
          <w:sz w:val="20"/>
          <w:szCs w:val="20"/>
        </w:rPr>
        <w:t xml:space="preserve">Figure </w:t>
      </w:r>
      <w:r w:rsidRPr="00D31995">
        <w:rPr>
          <w:sz w:val="20"/>
          <w:szCs w:val="20"/>
        </w:rPr>
        <w:fldChar w:fldCharType="begin"/>
      </w:r>
      <w:r w:rsidRPr="00D31995">
        <w:rPr>
          <w:sz w:val="20"/>
          <w:szCs w:val="20"/>
        </w:rPr>
        <w:instrText xml:space="preserve"> SEQ Figure \* ARABIC </w:instrText>
      </w:r>
      <w:r w:rsidRPr="00D31995">
        <w:rPr>
          <w:sz w:val="20"/>
          <w:szCs w:val="20"/>
        </w:rPr>
        <w:fldChar w:fldCharType="separate"/>
      </w:r>
      <w:r w:rsidR="00AA5AC0">
        <w:rPr>
          <w:noProof/>
          <w:sz w:val="20"/>
          <w:szCs w:val="20"/>
        </w:rPr>
        <w:t>1</w:t>
      </w:r>
      <w:r w:rsidRPr="00D31995">
        <w:rPr>
          <w:sz w:val="20"/>
          <w:szCs w:val="20"/>
        </w:rPr>
        <w:fldChar w:fldCharType="end"/>
      </w:r>
      <w:bookmarkEnd w:id="1"/>
      <w:r w:rsidR="001A5B05">
        <w:rPr>
          <w:sz w:val="20"/>
          <w:szCs w:val="20"/>
        </w:rPr>
        <w:t>:</w:t>
      </w:r>
      <w:r w:rsidR="003E6CD0">
        <w:rPr>
          <w:sz w:val="20"/>
          <w:szCs w:val="20"/>
        </w:rPr>
        <w:t xml:space="preserve"> </w:t>
      </w:r>
      <w:r w:rsidRPr="00D31995">
        <w:rPr>
          <w:sz w:val="20"/>
          <w:szCs w:val="20"/>
        </w:rPr>
        <w:t>UE Event Based Aperiodic Beam Measurement Reporting</w:t>
      </w:r>
    </w:p>
    <w:p w14:paraId="0B62A6AB" w14:textId="5E5914AB" w:rsidR="00570DA9" w:rsidRDefault="00895722" w:rsidP="00E86F15">
      <w:pPr>
        <w:jc w:val="both"/>
        <w:rPr>
          <w:rFonts w:eastAsia="SimSun"/>
          <w:bCs/>
          <w:sz w:val="20"/>
          <w:szCs w:val="20"/>
        </w:rPr>
      </w:pPr>
      <w:r w:rsidRPr="002B5FE5">
        <w:rPr>
          <w:rFonts w:eastAsia="SimSun"/>
          <w:b/>
          <w:bCs/>
          <w:sz w:val="20"/>
          <w:szCs w:val="20"/>
        </w:rPr>
        <w:fldChar w:fldCharType="begin"/>
      </w:r>
      <w:r w:rsidRPr="002B5FE5">
        <w:rPr>
          <w:rFonts w:eastAsia="SimSun"/>
          <w:b/>
          <w:bCs/>
          <w:sz w:val="20"/>
          <w:szCs w:val="20"/>
        </w:rPr>
        <w:instrText xml:space="preserve"> REF _Ref498330851 \h </w:instrText>
      </w:r>
      <w:r w:rsidR="002B5FE5" w:rsidRPr="002B5FE5">
        <w:rPr>
          <w:rFonts w:eastAsia="SimSun"/>
          <w:b/>
          <w:bCs/>
          <w:sz w:val="20"/>
          <w:szCs w:val="20"/>
        </w:rPr>
        <w:instrText xml:space="preserve"> \* MERGEFORMAT </w:instrText>
      </w:r>
      <w:r w:rsidRPr="002B5FE5">
        <w:rPr>
          <w:rFonts w:eastAsia="SimSun"/>
          <w:b/>
          <w:bCs/>
          <w:sz w:val="20"/>
          <w:szCs w:val="20"/>
        </w:rPr>
      </w:r>
      <w:r w:rsidRPr="002B5FE5">
        <w:rPr>
          <w:rFonts w:eastAsia="SimSun"/>
          <w:b/>
          <w:bCs/>
          <w:sz w:val="20"/>
          <w:szCs w:val="20"/>
        </w:rPr>
        <w:fldChar w:fldCharType="separate"/>
      </w:r>
      <w:r w:rsidRPr="002B5FE5">
        <w:rPr>
          <w:sz w:val="20"/>
          <w:szCs w:val="20"/>
        </w:rPr>
        <w:t xml:space="preserve">Figure </w:t>
      </w:r>
      <w:r w:rsidRPr="002B5FE5">
        <w:rPr>
          <w:noProof/>
          <w:sz w:val="20"/>
          <w:szCs w:val="20"/>
        </w:rPr>
        <w:t>1</w:t>
      </w:r>
      <w:r w:rsidRPr="002B5FE5">
        <w:rPr>
          <w:rFonts w:eastAsia="SimSun"/>
          <w:b/>
          <w:bCs/>
          <w:sz w:val="20"/>
          <w:szCs w:val="20"/>
        </w:rPr>
        <w:fldChar w:fldCharType="end"/>
      </w:r>
      <w:r w:rsidRPr="002B5FE5">
        <w:rPr>
          <w:rFonts w:eastAsia="SimSun"/>
          <w:b/>
          <w:bCs/>
          <w:sz w:val="20"/>
          <w:szCs w:val="20"/>
        </w:rPr>
        <w:t xml:space="preserve"> </w:t>
      </w:r>
      <w:r w:rsidRPr="002B5FE5">
        <w:rPr>
          <w:rFonts w:eastAsia="SimSun"/>
          <w:bCs/>
          <w:sz w:val="20"/>
          <w:szCs w:val="20"/>
        </w:rPr>
        <w:t xml:space="preserve">illustrates the </w:t>
      </w:r>
      <w:r w:rsidR="00AA4364" w:rsidRPr="002B5FE5">
        <w:rPr>
          <w:rFonts w:eastAsia="SimSun"/>
          <w:bCs/>
          <w:sz w:val="20"/>
          <w:szCs w:val="20"/>
        </w:rPr>
        <w:t>event-based</w:t>
      </w:r>
      <w:r w:rsidRPr="002B5FE5">
        <w:rPr>
          <w:rFonts w:eastAsia="SimSun"/>
          <w:bCs/>
          <w:sz w:val="20"/>
          <w:szCs w:val="20"/>
        </w:rPr>
        <w:t xml:space="preserve"> measurement reporting compared to periodic report. Assum</w:t>
      </w:r>
      <w:r w:rsidR="00BE750F">
        <w:rPr>
          <w:rFonts w:eastAsia="SimSun"/>
          <w:bCs/>
          <w:sz w:val="20"/>
          <w:szCs w:val="20"/>
        </w:rPr>
        <w:t>ing</w:t>
      </w:r>
      <w:r w:rsidRPr="002B5FE5">
        <w:rPr>
          <w:rFonts w:eastAsia="SimSun"/>
          <w:bCs/>
          <w:sz w:val="20"/>
          <w:szCs w:val="20"/>
        </w:rPr>
        <w:t xml:space="preserve"> NW configures periodic </w:t>
      </w:r>
      <w:r w:rsidR="0099175D">
        <w:rPr>
          <w:rFonts w:eastAsia="SimSun"/>
          <w:bCs/>
          <w:sz w:val="20"/>
          <w:szCs w:val="20"/>
        </w:rPr>
        <w:t xml:space="preserve">measurement </w:t>
      </w:r>
      <w:r>
        <w:rPr>
          <w:rFonts w:eastAsia="SimSun"/>
          <w:bCs/>
          <w:sz w:val="20"/>
          <w:szCs w:val="20"/>
        </w:rPr>
        <w:t>resource</w:t>
      </w:r>
      <w:r w:rsidR="0099175D">
        <w:rPr>
          <w:rFonts w:eastAsia="SimSun"/>
          <w:bCs/>
          <w:sz w:val="20"/>
          <w:szCs w:val="20"/>
        </w:rPr>
        <w:t>s</w:t>
      </w:r>
      <w:r>
        <w:rPr>
          <w:rFonts w:eastAsia="SimSun"/>
          <w:bCs/>
          <w:sz w:val="20"/>
          <w:szCs w:val="20"/>
        </w:rPr>
        <w:t xml:space="preserve"> (SSB or CSI-RS). </w:t>
      </w:r>
      <w:r w:rsidR="00A36BD9">
        <w:rPr>
          <w:rFonts w:eastAsia="SimSun"/>
          <w:bCs/>
          <w:sz w:val="20"/>
          <w:szCs w:val="20"/>
        </w:rPr>
        <w:t>The baseline operation is for UE to make the periodic measurement report in order to track the beam change. Note that, due to the un-predictableness of the bea</w:t>
      </w:r>
      <w:r w:rsidR="00A36BD9" w:rsidRPr="00755904">
        <w:rPr>
          <w:rFonts w:eastAsia="SimSun"/>
          <w:bCs/>
          <w:sz w:val="20"/>
          <w:szCs w:val="20"/>
        </w:rPr>
        <w:t xml:space="preserve">m change, a frequent beam reporting is needed in order to ensure the robustness of the </w:t>
      </w:r>
      <w:r w:rsidR="00570DA9" w:rsidRPr="00755904">
        <w:rPr>
          <w:rFonts w:eastAsia="SimSun"/>
          <w:bCs/>
          <w:sz w:val="20"/>
          <w:szCs w:val="20"/>
        </w:rPr>
        <w:t>beam management</w:t>
      </w:r>
      <w:r w:rsidR="002B5FE5" w:rsidRPr="00755904">
        <w:rPr>
          <w:rFonts w:eastAsia="SimSun"/>
          <w:bCs/>
          <w:sz w:val="20"/>
          <w:szCs w:val="20"/>
        </w:rPr>
        <w:t xml:space="preserve"> as shown </w:t>
      </w:r>
      <w:r w:rsidR="008E27AD">
        <w:rPr>
          <w:rFonts w:eastAsia="SimSun"/>
          <w:bCs/>
          <w:sz w:val="20"/>
          <w:szCs w:val="20"/>
        </w:rPr>
        <w:t xml:space="preserve">by red arrows </w:t>
      </w:r>
      <w:r w:rsidR="002B5FE5" w:rsidRPr="00755904">
        <w:rPr>
          <w:rFonts w:eastAsia="SimSun"/>
          <w:bCs/>
          <w:sz w:val="20"/>
          <w:szCs w:val="20"/>
        </w:rPr>
        <w:t xml:space="preserve">in </w:t>
      </w:r>
      <w:r w:rsidR="002B5FE5" w:rsidRPr="00755904">
        <w:rPr>
          <w:rFonts w:eastAsia="SimSun"/>
          <w:bCs/>
          <w:sz w:val="20"/>
          <w:szCs w:val="20"/>
        </w:rPr>
        <w:fldChar w:fldCharType="begin"/>
      </w:r>
      <w:r w:rsidR="002B5FE5" w:rsidRPr="00755904">
        <w:rPr>
          <w:rFonts w:eastAsia="SimSun"/>
          <w:bCs/>
          <w:sz w:val="20"/>
          <w:szCs w:val="20"/>
        </w:rPr>
        <w:instrText xml:space="preserve"> REF _Ref498330851 \h </w:instrText>
      </w:r>
      <w:r w:rsidR="00755904" w:rsidRPr="00755904">
        <w:rPr>
          <w:rFonts w:eastAsia="SimSun"/>
          <w:bCs/>
          <w:sz w:val="20"/>
          <w:szCs w:val="20"/>
        </w:rPr>
        <w:instrText xml:space="preserve"> \* MERGEFORMAT </w:instrText>
      </w:r>
      <w:r w:rsidR="002B5FE5" w:rsidRPr="00755904">
        <w:rPr>
          <w:rFonts w:eastAsia="SimSun"/>
          <w:bCs/>
          <w:sz w:val="20"/>
          <w:szCs w:val="20"/>
        </w:rPr>
      </w:r>
      <w:r w:rsidR="002B5FE5" w:rsidRPr="00755904">
        <w:rPr>
          <w:rFonts w:eastAsia="SimSun"/>
          <w:bCs/>
          <w:sz w:val="20"/>
          <w:szCs w:val="20"/>
        </w:rPr>
        <w:fldChar w:fldCharType="separate"/>
      </w:r>
      <w:r w:rsidR="002B5FE5" w:rsidRPr="00755904">
        <w:rPr>
          <w:sz w:val="20"/>
          <w:szCs w:val="20"/>
        </w:rPr>
        <w:t xml:space="preserve">Figure </w:t>
      </w:r>
      <w:r w:rsidR="002B5FE5" w:rsidRPr="00755904">
        <w:rPr>
          <w:noProof/>
          <w:sz w:val="20"/>
          <w:szCs w:val="20"/>
        </w:rPr>
        <w:t>1</w:t>
      </w:r>
      <w:r w:rsidR="002B5FE5" w:rsidRPr="00755904">
        <w:rPr>
          <w:rFonts w:eastAsia="SimSun"/>
          <w:bCs/>
          <w:sz w:val="20"/>
          <w:szCs w:val="20"/>
        </w:rPr>
        <w:fldChar w:fldCharType="end"/>
      </w:r>
      <w:r w:rsidR="00755904" w:rsidRPr="00755904">
        <w:rPr>
          <w:rFonts w:eastAsia="SimSun"/>
          <w:bCs/>
          <w:sz w:val="20"/>
          <w:szCs w:val="20"/>
        </w:rPr>
        <w:t>. Assum</w:t>
      </w:r>
      <w:r w:rsidR="00764CC5">
        <w:rPr>
          <w:rFonts w:eastAsia="SimSun"/>
          <w:bCs/>
          <w:sz w:val="20"/>
          <w:szCs w:val="20"/>
        </w:rPr>
        <w:t>ing</w:t>
      </w:r>
      <w:r w:rsidR="00755904">
        <w:rPr>
          <w:rFonts w:eastAsia="SimSun"/>
          <w:bCs/>
          <w:sz w:val="20"/>
          <w:szCs w:val="20"/>
        </w:rPr>
        <w:t xml:space="preserve"> UE </w:t>
      </w:r>
      <w:r w:rsidR="005C3B24">
        <w:rPr>
          <w:rFonts w:eastAsia="SimSun"/>
          <w:bCs/>
          <w:sz w:val="20"/>
          <w:szCs w:val="20"/>
        </w:rPr>
        <w:t xml:space="preserve">desirable receive beam changes due to, e.g., device rotation, </w:t>
      </w:r>
      <w:r w:rsidR="008259D8">
        <w:rPr>
          <w:rFonts w:eastAsia="SimSun"/>
          <w:bCs/>
          <w:sz w:val="20"/>
          <w:szCs w:val="20"/>
        </w:rPr>
        <w:t>UE can detect the change via periodic measurement</w:t>
      </w:r>
      <w:r w:rsidR="006E7873">
        <w:rPr>
          <w:rFonts w:eastAsia="SimSun"/>
          <w:bCs/>
          <w:sz w:val="20"/>
          <w:szCs w:val="20"/>
        </w:rPr>
        <w:t xml:space="preserve">. Only when the beam change is detected, or certain event is detected, UE is required </w:t>
      </w:r>
      <w:r w:rsidR="00B9322F">
        <w:rPr>
          <w:rFonts w:eastAsia="SimSun"/>
          <w:bCs/>
          <w:sz w:val="20"/>
          <w:szCs w:val="20"/>
        </w:rPr>
        <w:t xml:space="preserve">to </w:t>
      </w:r>
      <w:r w:rsidR="006E7873">
        <w:rPr>
          <w:rFonts w:eastAsia="SimSun"/>
          <w:bCs/>
          <w:sz w:val="20"/>
          <w:szCs w:val="20"/>
        </w:rPr>
        <w:t xml:space="preserve">report the measurement as shown by green arrows. Clearly, </w:t>
      </w:r>
      <w:r w:rsidR="00AA4364">
        <w:rPr>
          <w:rFonts w:eastAsia="SimSun"/>
          <w:bCs/>
          <w:sz w:val="20"/>
          <w:szCs w:val="20"/>
        </w:rPr>
        <w:t>event-based</w:t>
      </w:r>
      <w:r w:rsidR="006E7873">
        <w:rPr>
          <w:rFonts w:eastAsia="SimSun"/>
          <w:bCs/>
          <w:sz w:val="20"/>
          <w:szCs w:val="20"/>
        </w:rPr>
        <w:t xml:space="preserve"> measurement can reduce the reporting overhead while maintaining the same robustness of the beam management.</w:t>
      </w:r>
      <w:r w:rsidR="008E25F3">
        <w:rPr>
          <w:rFonts w:eastAsia="SimSun"/>
          <w:bCs/>
          <w:sz w:val="20"/>
          <w:szCs w:val="20"/>
        </w:rPr>
        <w:t xml:space="preserve"> Therefore, we propose the following</w:t>
      </w:r>
    </w:p>
    <w:p w14:paraId="24D4654D" w14:textId="47169FBF" w:rsidR="002F5C0D" w:rsidRPr="00895722" w:rsidRDefault="002F5C0D" w:rsidP="00E86F15">
      <w:pPr>
        <w:jc w:val="both"/>
        <w:rPr>
          <w:rFonts w:eastAsia="SimSun"/>
          <w:bCs/>
          <w:sz w:val="20"/>
          <w:szCs w:val="20"/>
        </w:rPr>
      </w:pPr>
    </w:p>
    <w:p w14:paraId="486A9D5A" w14:textId="60A7E789" w:rsidR="00BD7650" w:rsidRPr="00E86F15" w:rsidRDefault="00BD7650" w:rsidP="00E86F15">
      <w:pPr>
        <w:jc w:val="both"/>
        <w:rPr>
          <w:b/>
          <w:i/>
          <w:sz w:val="20"/>
          <w:szCs w:val="20"/>
        </w:rPr>
      </w:pPr>
      <w:r w:rsidRPr="00E86F15">
        <w:rPr>
          <w:rFonts w:eastAsia="SimSun"/>
          <w:b/>
          <w:bCs/>
          <w:i/>
          <w:sz w:val="20"/>
          <w:szCs w:val="20"/>
          <w:u w:val="single"/>
        </w:rPr>
        <w:t>Proposal 1</w:t>
      </w:r>
      <w:r w:rsidRPr="00E86F15">
        <w:rPr>
          <w:rFonts w:eastAsia="SimSun"/>
          <w:bCs/>
          <w:i/>
          <w:sz w:val="20"/>
          <w:szCs w:val="20"/>
        </w:rPr>
        <w:t xml:space="preserve">: </w:t>
      </w:r>
      <w:r w:rsidRPr="00E86F15">
        <w:rPr>
          <w:b/>
          <w:i/>
          <w:sz w:val="20"/>
          <w:szCs w:val="20"/>
        </w:rPr>
        <w:t>NR to support UE event based aperiodic beam measurement reporting.</w:t>
      </w:r>
    </w:p>
    <w:p w14:paraId="6A61E9FB" w14:textId="076BE00F" w:rsidR="00BD7650" w:rsidRPr="00D20522" w:rsidRDefault="00BD7650" w:rsidP="00D20522">
      <w:pPr>
        <w:ind w:firstLine="567"/>
        <w:jc w:val="both"/>
        <w:rPr>
          <w:b/>
          <w:i/>
          <w:sz w:val="20"/>
          <w:szCs w:val="20"/>
        </w:rPr>
      </w:pPr>
      <w:r>
        <w:rPr>
          <w:b/>
          <w:i/>
          <w:sz w:val="20"/>
          <w:szCs w:val="20"/>
        </w:rPr>
        <w:t xml:space="preserve">FFS: the detailed </w:t>
      </w:r>
      <w:r w:rsidR="00D777E0">
        <w:rPr>
          <w:b/>
          <w:i/>
          <w:sz w:val="20"/>
          <w:szCs w:val="20"/>
        </w:rPr>
        <w:t>events</w:t>
      </w:r>
      <w:r>
        <w:rPr>
          <w:b/>
          <w:i/>
          <w:sz w:val="20"/>
          <w:szCs w:val="20"/>
        </w:rPr>
        <w:t xml:space="preserve"> and configurations</w:t>
      </w:r>
    </w:p>
    <w:p w14:paraId="6D498271" w14:textId="05DD3214" w:rsidR="006F21A8" w:rsidRDefault="006F21A8" w:rsidP="006A1E84">
      <w:pPr>
        <w:pStyle w:val="Heading1"/>
      </w:pPr>
      <w:r>
        <w:t xml:space="preserve">UE </w:t>
      </w:r>
      <w:r w:rsidR="004F35E5">
        <w:t xml:space="preserve">Assisted </w:t>
      </w:r>
      <w:r>
        <w:t xml:space="preserve">Beam Management Procedure </w:t>
      </w:r>
    </w:p>
    <w:p w14:paraId="26CF8155" w14:textId="6644D191" w:rsidR="00567EEA" w:rsidRDefault="00407C77" w:rsidP="00A94D8B">
      <w:pPr>
        <w:rPr>
          <w:sz w:val="20"/>
          <w:szCs w:val="20"/>
        </w:rPr>
      </w:pPr>
      <w:r>
        <w:rPr>
          <w:sz w:val="20"/>
          <w:szCs w:val="20"/>
        </w:rPr>
        <w:t xml:space="preserve">One important role of periodic/aperiodic </w:t>
      </w:r>
      <w:r w:rsidR="00390CEF">
        <w:rPr>
          <w:sz w:val="20"/>
          <w:szCs w:val="20"/>
        </w:rPr>
        <w:t>beam measurement report is to allow gNB</w:t>
      </w:r>
      <w:r w:rsidR="002966E4">
        <w:rPr>
          <w:sz w:val="20"/>
          <w:szCs w:val="20"/>
        </w:rPr>
        <w:t xml:space="preserve"> to (1) monitor</w:t>
      </w:r>
      <w:r w:rsidR="00390CEF">
        <w:rPr>
          <w:sz w:val="20"/>
          <w:szCs w:val="20"/>
        </w:rPr>
        <w:t xml:space="preserve"> beam pair</w:t>
      </w:r>
      <w:r w:rsidR="006D2701">
        <w:rPr>
          <w:sz w:val="20"/>
          <w:szCs w:val="20"/>
        </w:rPr>
        <w:t>(s)</w:t>
      </w:r>
      <w:r w:rsidR="00390CEF">
        <w:rPr>
          <w:sz w:val="20"/>
          <w:szCs w:val="20"/>
        </w:rPr>
        <w:t xml:space="preserve"> quality</w:t>
      </w:r>
      <w:r w:rsidR="002966E4">
        <w:rPr>
          <w:sz w:val="20"/>
          <w:szCs w:val="20"/>
        </w:rPr>
        <w:t xml:space="preserve"> and (2) adjust beam pair</w:t>
      </w:r>
      <w:r w:rsidR="006D2701">
        <w:rPr>
          <w:sz w:val="20"/>
          <w:szCs w:val="20"/>
        </w:rPr>
        <w:t>(s)</w:t>
      </w:r>
      <w:r w:rsidR="002966E4">
        <w:rPr>
          <w:sz w:val="20"/>
          <w:szCs w:val="20"/>
        </w:rPr>
        <w:t xml:space="preserve"> by </w:t>
      </w:r>
      <w:r w:rsidR="00390CEF">
        <w:rPr>
          <w:sz w:val="20"/>
          <w:szCs w:val="20"/>
        </w:rPr>
        <w:t>triggering beam management</w:t>
      </w:r>
      <w:r w:rsidR="002966E4">
        <w:rPr>
          <w:sz w:val="20"/>
          <w:szCs w:val="20"/>
        </w:rPr>
        <w:t xml:space="preserve"> procedures when needed. </w:t>
      </w:r>
      <w:r w:rsidR="00697157" w:rsidRPr="002413FF">
        <w:rPr>
          <w:sz w:val="20"/>
          <w:szCs w:val="20"/>
        </w:rPr>
        <w:t xml:space="preserve">So far, the </w:t>
      </w:r>
      <w:r w:rsidR="006D2701">
        <w:rPr>
          <w:sz w:val="20"/>
          <w:szCs w:val="20"/>
        </w:rPr>
        <w:t xml:space="preserve">triggering and </w:t>
      </w:r>
      <w:r w:rsidR="00697157" w:rsidRPr="002413FF">
        <w:rPr>
          <w:sz w:val="20"/>
          <w:szCs w:val="20"/>
        </w:rPr>
        <w:t>configuration of the beam management procedure</w:t>
      </w:r>
      <w:r w:rsidR="005A31FB" w:rsidRPr="002413FF">
        <w:rPr>
          <w:sz w:val="20"/>
          <w:szCs w:val="20"/>
        </w:rPr>
        <w:t>, i.e. P1/P2/P3 or</w:t>
      </w:r>
      <w:r w:rsidR="00502A1B" w:rsidRPr="002413FF">
        <w:rPr>
          <w:sz w:val="20"/>
          <w:szCs w:val="20"/>
        </w:rPr>
        <w:t xml:space="preserve"> U1/U2/U3, is a gNB decision without much UE direct input</w:t>
      </w:r>
      <w:r w:rsidR="006D2701">
        <w:rPr>
          <w:sz w:val="20"/>
          <w:szCs w:val="20"/>
        </w:rPr>
        <w:t xml:space="preserve"> on which procedure is preferred</w:t>
      </w:r>
      <w:r w:rsidR="00502A1B" w:rsidRPr="002413FF">
        <w:rPr>
          <w:sz w:val="20"/>
          <w:szCs w:val="20"/>
        </w:rPr>
        <w:t>.</w:t>
      </w:r>
      <w:r w:rsidR="000D7715">
        <w:rPr>
          <w:sz w:val="20"/>
          <w:szCs w:val="20"/>
        </w:rPr>
        <w:t xml:space="preserve"> </w:t>
      </w:r>
      <w:r w:rsidR="000E2E2C">
        <w:rPr>
          <w:sz w:val="20"/>
          <w:szCs w:val="20"/>
        </w:rPr>
        <w:t>B</w:t>
      </w:r>
      <w:r w:rsidR="00A94D8B" w:rsidRPr="002413FF">
        <w:rPr>
          <w:sz w:val="20"/>
          <w:szCs w:val="20"/>
        </w:rPr>
        <w:t>eam change</w:t>
      </w:r>
      <w:r w:rsidR="000E2E2C">
        <w:rPr>
          <w:sz w:val="20"/>
          <w:szCs w:val="20"/>
        </w:rPr>
        <w:t>s</w:t>
      </w:r>
      <w:r w:rsidR="00A94D8B" w:rsidRPr="002413FF">
        <w:rPr>
          <w:sz w:val="20"/>
          <w:szCs w:val="20"/>
        </w:rPr>
        <w:t xml:space="preserve"> typically </w:t>
      </w:r>
      <w:r w:rsidR="000E2E2C">
        <w:rPr>
          <w:sz w:val="20"/>
          <w:szCs w:val="20"/>
        </w:rPr>
        <w:t xml:space="preserve">are </w:t>
      </w:r>
      <w:r w:rsidR="00A94D8B" w:rsidRPr="002413FF">
        <w:rPr>
          <w:sz w:val="20"/>
          <w:szCs w:val="20"/>
        </w:rPr>
        <w:t xml:space="preserve">resulted from UE movement, rotation, blockage (e.g., hand, body or surrounding). UE </w:t>
      </w:r>
      <w:r w:rsidR="00486CB5">
        <w:rPr>
          <w:sz w:val="20"/>
          <w:szCs w:val="20"/>
        </w:rPr>
        <w:t xml:space="preserve">can utilize various </w:t>
      </w:r>
      <w:r w:rsidR="00486CB5" w:rsidRPr="002413FF">
        <w:rPr>
          <w:sz w:val="20"/>
          <w:szCs w:val="20"/>
        </w:rPr>
        <w:t>reference signal</w:t>
      </w:r>
      <w:r w:rsidR="00486CB5">
        <w:rPr>
          <w:sz w:val="20"/>
          <w:szCs w:val="20"/>
        </w:rPr>
        <w:t>s</w:t>
      </w:r>
      <w:r w:rsidR="004533DD">
        <w:rPr>
          <w:sz w:val="20"/>
          <w:szCs w:val="20"/>
        </w:rPr>
        <w:t>, measurements</w:t>
      </w:r>
      <w:r w:rsidR="00486CB5" w:rsidRPr="002413FF">
        <w:rPr>
          <w:sz w:val="20"/>
          <w:szCs w:val="20"/>
        </w:rPr>
        <w:t xml:space="preserve"> </w:t>
      </w:r>
      <w:r w:rsidR="001E17DD">
        <w:rPr>
          <w:sz w:val="20"/>
          <w:szCs w:val="20"/>
        </w:rPr>
        <w:t xml:space="preserve">or even </w:t>
      </w:r>
      <w:r w:rsidR="00486CB5">
        <w:rPr>
          <w:sz w:val="20"/>
          <w:szCs w:val="20"/>
        </w:rPr>
        <w:t xml:space="preserve">sensors </w:t>
      </w:r>
      <w:r w:rsidR="001E17DD">
        <w:rPr>
          <w:sz w:val="20"/>
          <w:szCs w:val="20"/>
        </w:rPr>
        <w:t xml:space="preserve">to </w:t>
      </w:r>
      <w:r w:rsidR="004533DD">
        <w:rPr>
          <w:sz w:val="20"/>
          <w:szCs w:val="20"/>
        </w:rPr>
        <w:t>detect</w:t>
      </w:r>
      <w:r w:rsidR="001E17DD">
        <w:rPr>
          <w:sz w:val="20"/>
          <w:szCs w:val="20"/>
        </w:rPr>
        <w:t xml:space="preserve"> beam changes</w:t>
      </w:r>
      <w:r w:rsidR="00486CB5">
        <w:rPr>
          <w:sz w:val="20"/>
          <w:szCs w:val="20"/>
        </w:rPr>
        <w:t xml:space="preserve">, and </w:t>
      </w:r>
      <w:r w:rsidR="00FD22FA">
        <w:rPr>
          <w:sz w:val="20"/>
          <w:szCs w:val="20"/>
        </w:rPr>
        <w:t xml:space="preserve">may </w:t>
      </w:r>
      <w:r w:rsidR="006F51E2">
        <w:rPr>
          <w:sz w:val="20"/>
          <w:szCs w:val="20"/>
        </w:rPr>
        <w:t>figure out</w:t>
      </w:r>
      <w:r w:rsidR="00FD22FA">
        <w:rPr>
          <w:sz w:val="20"/>
          <w:szCs w:val="20"/>
        </w:rPr>
        <w:t xml:space="preserve"> </w:t>
      </w:r>
      <w:r w:rsidR="002924A1" w:rsidRPr="002413FF">
        <w:rPr>
          <w:sz w:val="20"/>
          <w:szCs w:val="20"/>
        </w:rPr>
        <w:t>cause</w:t>
      </w:r>
      <w:r w:rsidR="00486CB5">
        <w:rPr>
          <w:sz w:val="20"/>
          <w:szCs w:val="20"/>
        </w:rPr>
        <w:t>s and preferable actions</w:t>
      </w:r>
      <w:r w:rsidR="002924A1" w:rsidRPr="002413FF">
        <w:rPr>
          <w:sz w:val="20"/>
          <w:szCs w:val="20"/>
        </w:rPr>
        <w:t xml:space="preserve"> of </w:t>
      </w:r>
      <w:r w:rsidR="00FD22FA">
        <w:rPr>
          <w:sz w:val="20"/>
          <w:szCs w:val="20"/>
        </w:rPr>
        <w:t xml:space="preserve">such </w:t>
      </w:r>
      <w:r w:rsidR="004F35E5">
        <w:rPr>
          <w:sz w:val="20"/>
          <w:szCs w:val="20"/>
        </w:rPr>
        <w:t>change</w:t>
      </w:r>
      <w:r w:rsidR="00FD22FA">
        <w:rPr>
          <w:sz w:val="20"/>
          <w:szCs w:val="20"/>
        </w:rPr>
        <w:t>s</w:t>
      </w:r>
      <w:r w:rsidR="002924A1" w:rsidRPr="002413FF">
        <w:rPr>
          <w:sz w:val="20"/>
          <w:szCs w:val="20"/>
        </w:rPr>
        <w:t>.</w:t>
      </w:r>
      <w:r w:rsidR="002413FF" w:rsidRPr="002413FF">
        <w:rPr>
          <w:sz w:val="20"/>
          <w:szCs w:val="20"/>
        </w:rPr>
        <w:t xml:space="preserve"> </w:t>
      </w:r>
      <w:r w:rsidR="00FD22FA">
        <w:rPr>
          <w:sz w:val="20"/>
          <w:szCs w:val="20"/>
        </w:rPr>
        <w:t xml:space="preserve">Therefore, it is beneficial to allow UE assisting gNB </w:t>
      </w:r>
      <w:r w:rsidR="007B1AAB">
        <w:rPr>
          <w:sz w:val="20"/>
          <w:szCs w:val="20"/>
        </w:rPr>
        <w:t xml:space="preserve">to configure beam management procedure </w:t>
      </w:r>
      <w:r w:rsidR="00FD22FA">
        <w:rPr>
          <w:sz w:val="20"/>
          <w:szCs w:val="20"/>
        </w:rPr>
        <w:t>via, e.g., beam mea</w:t>
      </w:r>
      <w:r w:rsidR="007B1AAB">
        <w:rPr>
          <w:sz w:val="20"/>
          <w:szCs w:val="20"/>
        </w:rPr>
        <w:t>surement report or other events</w:t>
      </w:r>
      <w:r w:rsidR="00FD22FA">
        <w:rPr>
          <w:sz w:val="20"/>
          <w:szCs w:val="20"/>
        </w:rPr>
        <w:t xml:space="preserve">. </w:t>
      </w:r>
    </w:p>
    <w:p w14:paraId="1B263A21" w14:textId="77777777" w:rsidR="00FD22FA" w:rsidRDefault="00FD22FA" w:rsidP="00A94D8B">
      <w:pPr>
        <w:rPr>
          <w:sz w:val="20"/>
          <w:szCs w:val="20"/>
        </w:rPr>
      </w:pPr>
    </w:p>
    <w:p w14:paraId="1731474A" w14:textId="04B86D75" w:rsidR="002924A1" w:rsidRPr="002413FF" w:rsidRDefault="002413FF" w:rsidP="00A94D8B">
      <w:pPr>
        <w:rPr>
          <w:sz w:val="20"/>
          <w:szCs w:val="20"/>
        </w:rPr>
      </w:pPr>
      <w:r w:rsidRPr="002413FF">
        <w:rPr>
          <w:sz w:val="20"/>
          <w:szCs w:val="20"/>
        </w:rPr>
        <w:fldChar w:fldCharType="begin"/>
      </w:r>
      <w:r w:rsidRPr="002413FF">
        <w:rPr>
          <w:sz w:val="20"/>
          <w:szCs w:val="20"/>
        </w:rPr>
        <w:instrText xml:space="preserve"> REF _Ref498332334 \h </w:instrText>
      </w:r>
      <w:r>
        <w:rPr>
          <w:sz w:val="20"/>
          <w:szCs w:val="20"/>
        </w:rPr>
        <w:instrText xml:space="preserve"> \* MERGEFORMAT </w:instrText>
      </w:r>
      <w:r w:rsidRPr="002413FF">
        <w:rPr>
          <w:sz w:val="20"/>
          <w:szCs w:val="20"/>
        </w:rPr>
      </w:r>
      <w:r w:rsidRPr="002413FF">
        <w:rPr>
          <w:sz w:val="20"/>
          <w:szCs w:val="20"/>
        </w:rPr>
        <w:fldChar w:fldCharType="separate"/>
      </w:r>
      <w:r w:rsidRPr="002413FF">
        <w:rPr>
          <w:sz w:val="20"/>
          <w:szCs w:val="20"/>
        </w:rPr>
        <w:t xml:space="preserve">Figure </w:t>
      </w:r>
      <w:r w:rsidRPr="002413FF">
        <w:rPr>
          <w:noProof/>
          <w:sz w:val="20"/>
          <w:szCs w:val="20"/>
        </w:rPr>
        <w:t>2</w:t>
      </w:r>
      <w:r w:rsidRPr="002413FF">
        <w:rPr>
          <w:sz w:val="20"/>
          <w:szCs w:val="20"/>
        </w:rPr>
        <w:fldChar w:fldCharType="end"/>
      </w:r>
      <w:r>
        <w:rPr>
          <w:sz w:val="20"/>
          <w:szCs w:val="20"/>
        </w:rPr>
        <w:t xml:space="preserve"> illustrates the usefulness of the UE </w:t>
      </w:r>
      <w:r w:rsidR="00130B84">
        <w:rPr>
          <w:sz w:val="20"/>
          <w:szCs w:val="20"/>
        </w:rPr>
        <w:t xml:space="preserve">assisted beam </w:t>
      </w:r>
      <w:r>
        <w:rPr>
          <w:sz w:val="20"/>
          <w:szCs w:val="20"/>
        </w:rPr>
        <w:t>management procedure. Assum</w:t>
      </w:r>
      <w:r w:rsidR="007D0786">
        <w:rPr>
          <w:sz w:val="20"/>
          <w:szCs w:val="20"/>
        </w:rPr>
        <w:t>ing</w:t>
      </w:r>
      <w:r>
        <w:rPr>
          <w:sz w:val="20"/>
          <w:szCs w:val="20"/>
        </w:rPr>
        <w:t xml:space="preserve"> that due to the device rotation, the existing Rx beam quality deteriorates and the desirable Rx beam changes</w:t>
      </w:r>
      <w:r w:rsidR="00390CEF">
        <w:rPr>
          <w:sz w:val="20"/>
          <w:szCs w:val="20"/>
        </w:rPr>
        <w:t xml:space="preserve"> and requires an adjustment</w:t>
      </w:r>
      <w:r>
        <w:rPr>
          <w:sz w:val="20"/>
          <w:szCs w:val="20"/>
        </w:rPr>
        <w:t xml:space="preserve">. </w:t>
      </w:r>
      <w:r w:rsidR="00D54206">
        <w:rPr>
          <w:sz w:val="20"/>
          <w:szCs w:val="20"/>
        </w:rPr>
        <w:t xml:space="preserve">From the gNB side, gNB </w:t>
      </w:r>
      <w:r w:rsidR="009545BB">
        <w:rPr>
          <w:sz w:val="20"/>
          <w:szCs w:val="20"/>
        </w:rPr>
        <w:t xml:space="preserve">may </w:t>
      </w:r>
      <w:r w:rsidR="00D54206">
        <w:rPr>
          <w:sz w:val="20"/>
          <w:szCs w:val="20"/>
        </w:rPr>
        <w:t xml:space="preserve">only observe the Rx beam quality deterioration from the UE measurement report. In order for gNB </w:t>
      </w:r>
      <w:r w:rsidR="00DE36CE">
        <w:rPr>
          <w:sz w:val="20"/>
          <w:szCs w:val="20"/>
        </w:rPr>
        <w:t xml:space="preserve">to discover the new optimal beam pair, gNB may configure P2 operation as shown in </w:t>
      </w:r>
      <w:r w:rsidR="00DE36CE" w:rsidRPr="002413FF">
        <w:rPr>
          <w:sz w:val="20"/>
          <w:szCs w:val="20"/>
        </w:rPr>
        <w:fldChar w:fldCharType="begin"/>
      </w:r>
      <w:r w:rsidR="00DE36CE" w:rsidRPr="002413FF">
        <w:rPr>
          <w:sz w:val="20"/>
          <w:szCs w:val="20"/>
        </w:rPr>
        <w:instrText xml:space="preserve"> REF _Ref498332334 \h </w:instrText>
      </w:r>
      <w:r w:rsidR="00DE36CE">
        <w:rPr>
          <w:sz w:val="20"/>
          <w:szCs w:val="20"/>
        </w:rPr>
        <w:instrText xml:space="preserve"> \* MERGEFORMAT </w:instrText>
      </w:r>
      <w:r w:rsidR="00DE36CE" w:rsidRPr="002413FF">
        <w:rPr>
          <w:sz w:val="20"/>
          <w:szCs w:val="20"/>
        </w:rPr>
      </w:r>
      <w:r w:rsidR="00DE36CE" w:rsidRPr="002413FF">
        <w:rPr>
          <w:sz w:val="20"/>
          <w:szCs w:val="20"/>
        </w:rPr>
        <w:fldChar w:fldCharType="separate"/>
      </w:r>
      <w:r w:rsidR="00DE36CE" w:rsidRPr="005026D4">
        <w:rPr>
          <w:sz w:val="20"/>
          <w:szCs w:val="20"/>
        </w:rPr>
        <w:t xml:space="preserve">Figure </w:t>
      </w:r>
      <w:r w:rsidR="00DE36CE" w:rsidRPr="005026D4">
        <w:rPr>
          <w:noProof/>
          <w:sz w:val="20"/>
          <w:szCs w:val="20"/>
        </w:rPr>
        <w:t>2</w:t>
      </w:r>
      <w:r w:rsidR="00DE36CE" w:rsidRPr="002413FF">
        <w:rPr>
          <w:sz w:val="20"/>
          <w:szCs w:val="20"/>
        </w:rPr>
        <w:fldChar w:fldCharType="end"/>
      </w:r>
      <w:r w:rsidR="0085544A">
        <w:rPr>
          <w:sz w:val="20"/>
          <w:szCs w:val="20"/>
        </w:rPr>
        <w:t>. This will cause unnecessary delay and increase overhead</w:t>
      </w:r>
      <w:r w:rsidR="009545BB">
        <w:rPr>
          <w:sz w:val="20"/>
          <w:szCs w:val="20"/>
        </w:rPr>
        <w:t xml:space="preserve"> in the beam management</w:t>
      </w:r>
      <w:r w:rsidR="0085544A">
        <w:rPr>
          <w:sz w:val="20"/>
          <w:szCs w:val="20"/>
        </w:rPr>
        <w:t xml:space="preserve">. On the other side, </w:t>
      </w:r>
      <w:r w:rsidR="00936165">
        <w:rPr>
          <w:sz w:val="20"/>
          <w:szCs w:val="20"/>
        </w:rPr>
        <w:t>UE may</w:t>
      </w:r>
      <w:r w:rsidR="00B5784B">
        <w:rPr>
          <w:sz w:val="20"/>
          <w:szCs w:val="20"/>
        </w:rPr>
        <w:t xml:space="preserve"> quickly detect Rx beam </w:t>
      </w:r>
      <w:r w:rsidR="00041925">
        <w:rPr>
          <w:sz w:val="20"/>
          <w:szCs w:val="20"/>
        </w:rPr>
        <w:t xml:space="preserve">degradation </w:t>
      </w:r>
      <w:r w:rsidR="00B5784B">
        <w:rPr>
          <w:sz w:val="20"/>
          <w:szCs w:val="20"/>
        </w:rPr>
        <w:t xml:space="preserve">as the cause, e.g., switching to wide Rx beam width, and </w:t>
      </w:r>
      <w:r w:rsidR="00041925">
        <w:rPr>
          <w:sz w:val="20"/>
          <w:szCs w:val="20"/>
        </w:rPr>
        <w:t xml:space="preserve">then </w:t>
      </w:r>
      <w:r w:rsidR="0085544A">
        <w:rPr>
          <w:sz w:val="20"/>
          <w:szCs w:val="20"/>
        </w:rPr>
        <w:t xml:space="preserve">UE can </w:t>
      </w:r>
      <w:r w:rsidR="00041925">
        <w:rPr>
          <w:sz w:val="20"/>
          <w:szCs w:val="20"/>
        </w:rPr>
        <w:t>feed back</w:t>
      </w:r>
      <w:r w:rsidR="00B5784B">
        <w:rPr>
          <w:sz w:val="20"/>
          <w:szCs w:val="20"/>
        </w:rPr>
        <w:t xml:space="preserve"> </w:t>
      </w:r>
      <w:r w:rsidR="00041925">
        <w:rPr>
          <w:sz w:val="20"/>
          <w:szCs w:val="20"/>
        </w:rPr>
        <w:t xml:space="preserve">this </w:t>
      </w:r>
      <w:r w:rsidR="00B5784B">
        <w:rPr>
          <w:sz w:val="20"/>
          <w:szCs w:val="20"/>
        </w:rPr>
        <w:t xml:space="preserve">relevant information </w:t>
      </w:r>
      <w:r w:rsidR="00041925">
        <w:rPr>
          <w:sz w:val="20"/>
          <w:szCs w:val="20"/>
        </w:rPr>
        <w:t xml:space="preserve">to help gNB </w:t>
      </w:r>
      <w:r w:rsidR="00B5784B">
        <w:rPr>
          <w:sz w:val="20"/>
          <w:szCs w:val="20"/>
        </w:rPr>
        <w:t xml:space="preserve">decide a </w:t>
      </w:r>
      <w:r w:rsidR="0085544A">
        <w:rPr>
          <w:sz w:val="20"/>
          <w:szCs w:val="20"/>
        </w:rPr>
        <w:t xml:space="preserve">P3 procedure. </w:t>
      </w:r>
      <w:r w:rsidR="00DE36CE">
        <w:rPr>
          <w:sz w:val="20"/>
          <w:szCs w:val="20"/>
        </w:rPr>
        <w:t xml:space="preserve"> </w:t>
      </w:r>
      <w:r>
        <w:rPr>
          <w:sz w:val="20"/>
          <w:szCs w:val="20"/>
        </w:rPr>
        <w:t xml:space="preserve"> </w:t>
      </w:r>
    </w:p>
    <w:p w14:paraId="0B282B6F" w14:textId="77777777" w:rsidR="00A94D8B" w:rsidRDefault="00A94D8B" w:rsidP="00A94D8B">
      <w:pPr>
        <w:rPr>
          <w:b/>
        </w:rPr>
      </w:pPr>
    </w:p>
    <w:p w14:paraId="28845253" w14:textId="77777777" w:rsidR="008240B9" w:rsidRDefault="008240B9" w:rsidP="008240B9">
      <w:pPr>
        <w:keepNext/>
      </w:pPr>
      <w:r w:rsidRPr="008240B9">
        <w:rPr>
          <w:b/>
          <w:noProof/>
        </w:rPr>
        <w:drawing>
          <wp:inline distT="0" distB="0" distL="0" distR="0" wp14:anchorId="22F3B5B8" wp14:editId="1E60ABAB">
            <wp:extent cx="6120765" cy="143891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438910"/>
                    </a:xfrm>
                    <a:prstGeom prst="rect">
                      <a:avLst/>
                    </a:prstGeom>
                  </pic:spPr>
                </pic:pic>
              </a:graphicData>
            </a:graphic>
          </wp:inline>
        </w:drawing>
      </w:r>
    </w:p>
    <w:p w14:paraId="100CF5F0" w14:textId="7E26BF01" w:rsidR="008240B9" w:rsidRPr="005026D4" w:rsidRDefault="008240B9" w:rsidP="005026D4">
      <w:pPr>
        <w:pStyle w:val="Caption"/>
        <w:rPr>
          <w:b w:val="0"/>
          <w:sz w:val="20"/>
          <w:szCs w:val="20"/>
        </w:rPr>
      </w:pPr>
      <w:bookmarkStart w:id="2" w:name="_Ref498332334"/>
      <w:r w:rsidRPr="005026D4">
        <w:rPr>
          <w:sz w:val="20"/>
          <w:szCs w:val="20"/>
        </w:rPr>
        <w:t xml:space="preserve">Figure </w:t>
      </w:r>
      <w:r w:rsidRPr="005026D4">
        <w:rPr>
          <w:sz w:val="20"/>
          <w:szCs w:val="20"/>
        </w:rPr>
        <w:fldChar w:fldCharType="begin"/>
      </w:r>
      <w:r w:rsidRPr="005026D4">
        <w:rPr>
          <w:sz w:val="20"/>
          <w:szCs w:val="20"/>
        </w:rPr>
        <w:instrText xml:space="preserve"> SEQ Figure \* ARABIC </w:instrText>
      </w:r>
      <w:r w:rsidRPr="005026D4">
        <w:rPr>
          <w:sz w:val="20"/>
          <w:szCs w:val="20"/>
        </w:rPr>
        <w:fldChar w:fldCharType="separate"/>
      </w:r>
      <w:r w:rsidR="00AA5AC0">
        <w:rPr>
          <w:noProof/>
          <w:sz w:val="20"/>
          <w:szCs w:val="20"/>
        </w:rPr>
        <w:t>2</w:t>
      </w:r>
      <w:r w:rsidRPr="005026D4">
        <w:rPr>
          <w:sz w:val="20"/>
          <w:szCs w:val="20"/>
        </w:rPr>
        <w:fldChar w:fldCharType="end"/>
      </w:r>
      <w:bookmarkEnd w:id="2"/>
      <w:r w:rsidR="005026D4">
        <w:rPr>
          <w:sz w:val="20"/>
          <w:szCs w:val="20"/>
        </w:rPr>
        <w:t xml:space="preserve"> UE Request Beam Management Procedure</w:t>
      </w:r>
    </w:p>
    <w:p w14:paraId="28DE7242" w14:textId="77777777" w:rsidR="009D1931" w:rsidRDefault="009D1931" w:rsidP="006F21A8">
      <w:pPr>
        <w:jc w:val="both"/>
        <w:rPr>
          <w:sz w:val="20"/>
          <w:szCs w:val="20"/>
        </w:rPr>
      </w:pPr>
    </w:p>
    <w:p w14:paraId="601353E2" w14:textId="151E283B" w:rsidR="008C0FD4" w:rsidRDefault="00A97BC4" w:rsidP="006F21A8">
      <w:pPr>
        <w:jc w:val="both"/>
        <w:rPr>
          <w:sz w:val="20"/>
          <w:szCs w:val="20"/>
        </w:rPr>
      </w:pPr>
      <w:r>
        <w:rPr>
          <w:sz w:val="20"/>
          <w:szCs w:val="20"/>
        </w:rPr>
        <w:lastRenderedPageBreak/>
        <w:t>Similar</w:t>
      </w:r>
      <w:r w:rsidR="00783982">
        <w:rPr>
          <w:sz w:val="20"/>
          <w:szCs w:val="20"/>
        </w:rPr>
        <w:t xml:space="preserve"> </w:t>
      </w:r>
      <w:r w:rsidR="000E2CC0">
        <w:rPr>
          <w:sz w:val="20"/>
          <w:szCs w:val="20"/>
        </w:rPr>
        <w:t xml:space="preserve">as the measurement report, </w:t>
      </w:r>
      <w:r w:rsidR="004533DD">
        <w:rPr>
          <w:sz w:val="20"/>
          <w:szCs w:val="20"/>
        </w:rPr>
        <w:t xml:space="preserve">such </w:t>
      </w:r>
      <w:r w:rsidR="00172253">
        <w:rPr>
          <w:sz w:val="20"/>
          <w:szCs w:val="20"/>
        </w:rPr>
        <w:t xml:space="preserve">UE </w:t>
      </w:r>
      <w:r w:rsidR="004533DD">
        <w:rPr>
          <w:sz w:val="20"/>
          <w:szCs w:val="20"/>
        </w:rPr>
        <w:t>report</w:t>
      </w:r>
      <w:r w:rsidR="00041925">
        <w:rPr>
          <w:sz w:val="20"/>
          <w:szCs w:val="20"/>
        </w:rPr>
        <w:t xml:space="preserve"> to assist</w:t>
      </w:r>
      <w:r w:rsidR="000E2CC0">
        <w:rPr>
          <w:sz w:val="20"/>
          <w:szCs w:val="20"/>
        </w:rPr>
        <w:t xml:space="preserve"> the beam meas</w:t>
      </w:r>
      <w:r w:rsidR="00067C00">
        <w:rPr>
          <w:sz w:val="20"/>
          <w:szCs w:val="20"/>
        </w:rPr>
        <w:t xml:space="preserve">urement </w:t>
      </w:r>
      <w:r w:rsidR="00041925">
        <w:rPr>
          <w:sz w:val="20"/>
          <w:szCs w:val="20"/>
        </w:rPr>
        <w:t xml:space="preserve">procedure </w:t>
      </w:r>
      <w:r w:rsidR="00067C00">
        <w:rPr>
          <w:sz w:val="20"/>
          <w:szCs w:val="20"/>
        </w:rPr>
        <w:t>can be event triggered with predefined triggering conditions.</w:t>
      </w:r>
      <w:r w:rsidR="00041925">
        <w:rPr>
          <w:sz w:val="20"/>
          <w:szCs w:val="20"/>
        </w:rPr>
        <w:t xml:space="preserve"> </w:t>
      </w:r>
      <w:r w:rsidR="00390CEF">
        <w:rPr>
          <w:sz w:val="20"/>
          <w:szCs w:val="20"/>
        </w:rPr>
        <w:t xml:space="preserve">One distinct aspect is that </w:t>
      </w:r>
      <w:r w:rsidR="00567EEA">
        <w:rPr>
          <w:sz w:val="20"/>
          <w:szCs w:val="20"/>
        </w:rPr>
        <w:t>these</w:t>
      </w:r>
      <w:r w:rsidR="00390CEF">
        <w:rPr>
          <w:sz w:val="20"/>
          <w:szCs w:val="20"/>
        </w:rPr>
        <w:t xml:space="preserve"> UE report</w:t>
      </w:r>
      <w:r w:rsidR="00567EEA">
        <w:rPr>
          <w:sz w:val="20"/>
          <w:szCs w:val="20"/>
        </w:rPr>
        <w:t>s should have implications on UE preferable beam management procedures.</w:t>
      </w:r>
      <w:r w:rsidR="00390CEF">
        <w:rPr>
          <w:sz w:val="20"/>
          <w:szCs w:val="20"/>
        </w:rPr>
        <w:t xml:space="preserve"> </w:t>
      </w:r>
      <w:r w:rsidR="004533DD">
        <w:rPr>
          <w:sz w:val="20"/>
          <w:szCs w:val="20"/>
        </w:rPr>
        <w:t xml:space="preserve">  </w:t>
      </w:r>
      <w:r w:rsidR="00041925">
        <w:rPr>
          <w:sz w:val="20"/>
          <w:szCs w:val="20"/>
        </w:rPr>
        <w:t xml:space="preserve"> </w:t>
      </w:r>
    </w:p>
    <w:p w14:paraId="5EC5877A" w14:textId="77777777" w:rsidR="0069540A" w:rsidRDefault="0069540A" w:rsidP="0069540A">
      <w:pPr>
        <w:jc w:val="both"/>
        <w:rPr>
          <w:sz w:val="20"/>
          <w:szCs w:val="20"/>
        </w:rPr>
      </w:pPr>
    </w:p>
    <w:p w14:paraId="79782F61" w14:textId="53A052BB" w:rsidR="00CC7821" w:rsidRDefault="006F21A8" w:rsidP="006F21A8">
      <w:pPr>
        <w:jc w:val="both"/>
        <w:rPr>
          <w:b/>
          <w:i/>
          <w:sz w:val="20"/>
          <w:szCs w:val="20"/>
        </w:rPr>
      </w:pPr>
      <w:r w:rsidRPr="00430170">
        <w:rPr>
          <w:rFonts w:eastAsia="SimSun"/>
          <w:b/>
          <w:bCs/>
          <w:i/>
          <w:sz w:val="20"/>
          <w:szCs w:val="20"/>
          <w:u w:val="single"/>
        </w:rPr>
        <w:t xml:space="preserve">Proposal </w:t>
      </w:r>
      <w:r w:rsidR="00B929A6">
        <w:rPr>
          <w:rFonts w:eastAsia="SimSun"/>
          <w:b/>
          <w:bCs/>
          <w:i/>
          <w:sz w:val="20"/>
          <w:szCs w:val="20"/>
          <w:u w:val="single"/>
        </w:rPr>
        <w:t>2</w:t>
      </w:r>
      <w:r w:rsidRPr="00430170">
        <w:rPr>
          <w:rFonts w:eastAsia="SimSun"/>
          <w:bCs/>
          <w:i/>
          <w:sz w:val="20"/>
          <w:szCs w:val="20"/>
        </w:rPr>
        <w:t xml:space="preserve">: </w:t>
      </w:r>
      <w:r>
        <w:rPr>
          <w:b/>
          <w:i/>
          <w:sz w:val="20"/>
          <w:szCs w:val="20"/>
        </w:rPr>
        <w:t xml:space="preserve">NR to </w:t>
      </w:r>
      <w:r w:rsidR="00CC7821">
        <w:rPr>
          <w:b/>
          <w:i/>
          <w:sz w:val="20"/>
          <w:szCs w:val="20"/>
        </w:rPr>
        <w:t xml:space="preserve">support UE </w:t>
      </w:r>
      <w:r w:rsidR="001F69F7">
        <w:rPr>
          <w:b/>
          <w:i/>
          <w:sz w:val="20"/>
          <w:szCs w:val="20"/>
        </w:rPr>
        <w:t>report to assist gNB</w:t>
      </w:r>
      <w:r w:rsidR="00B75A18">
        <w:rPr>
          <w:b/>
          <w:i/>
          <w:sz w:val="20"/>
          <w:szCs w:val="20"/>
        </w:rPr>
        <w:t xml:space="preserve"> </w:t>
      </w:r>
      <w:r w:rsidR="001F69F7">
        <w:rPr>
          <w:b/>
          <w:i/>
          <w:sz w:val="20"/>
          <w:szCs w:val="20"/>
        </w:rPr>
        <w:t xml:space="preserve">configuring </w:t>
      </w:r>
      <w:r w:rsidR="00CC7821">
        <w:rPr>
          <w:b/>
          <w:i/>
          <w:sz w:val="20"/>
          <w:szCs w:val="20"/>
        </w:rPr>
        <w:t>beam manage procedure</w:t>
      </w:r>
      <w:r w:rsidR="00B75A18">
        <w:rPr>
          <w:b/>
          <w:i/>
          <w:sz w:val="20"/>
          <w:szCs w:val="20"/>
        </w:rPr>
        <w:t xml:space="preserve"> (P1/P2/P3/U1/U2/U3)</w:t>
      </w:r>
    </w:p>
    <w:p w14:paraId="302C1C16" w14:textId="2D46BDF7" w:rsidR="000679D1" w:rsidRDefault="000679D1" w:rsidP="009B69D5">
      <w:pPr>
        <w:ind w:left="567" w:firstLine="400"/>
        <w:jc w:val="both"/>
        <w:rPr>
          <w:b/>
          <w:i/>
          <w:sz w:val="20"/>
          <w:szCs w:val="20"/>
        </w:rPr>
      </w:pPr>
      <w:r>
        <w:rPr>
          <w:b/>
          <w:i/>
          <w:sz w:val="20"/>
          <w:szCs w:val="20"/>
        </w:rPr>
        <w:t xml:space="preserve">FFS: </w:t>
      </w:r>
      <w:r w:rsidR="00172253">
        <w:rPr>
          <w:b/>
          <w:i/>
          <w:sz w:val="20"/>
          <w:szCs w:val="20"/>
        </w:rPr>
        <w:t xml:space="preserve">(1) </w:t>
      </w:r>
      <w:r w:rsidR="009B69D5">
        <w:rPr>
          <w:b/>
          <w:i/>
          <w:sz w:val="20"/>
          <w:szCs w:val="20"/>
        </w:rPr>
        <w:t xml:space="preserve">Detailed </w:t>
      </w:r>
      <w:r w:rsidR="001F69F7">
        <w:rPr>
          <w:b/>
          <w:i/>
          <w:sz w:val="20"/>
          <w:szCs w:val="20"/>
        </w:rPr>
        <w:t xml:space="preserve">channels/mechanism to send such </w:t>
      </w:r>
      <w:r w:rsidR="004533DD">
        <w:rPr>
          <w:b/>
          <w:i/>
          <w:sz w:val="20"/>
          <w:szCs w:val="20"/>
        </w:rPr>
        <w:t>report</w:t>
      </w:r>
      <w:r w:rsidR="00172253">
        <w:rPr>
          <w:b/>
          <w:i/>
          <w:sz w:val="20"/>
          <w:szCs w:val="20"/>
        </w:rPr>
        <w:t xml:space="preserve"> </w:t>
      </w:r>
      <w:r w:rsidR="001F69F7">
        <w:rPr>
          <w:b/>
          <w:i/>
          <w:sz w:val="20"/>
          <w:szCs w:val="20"/>
        </w:rPr>
        <w:t>from</w:t>
      </w:r>
      <w:r w:rsidR="00172253">
        <w:rPr>
          <w:b/>
          <w:i/>
          <w:sz w:val="20"/>
          <w:szCs w:val="20"/>
        </w:rPr>
        <w:t xml:space="preserve"> UE </w:t>
      </w:r>
      <w:r w:rsidR="004533DD">
        <w:rPr>
          <w:b/>
          <w:i/>
          <w:sz w:val="20"/>
          <w:szCs w:val="20"/>
        </w:rPr>
        <w:t xml:space="preserve">and (2) </w:t>
      </w:r>
      <w:r>
        <w:rPr>
          <w:b/>
          <w:i/>
          <w:sz w:val="20"/>
          <w:szCs w:val="20"/>
        </w:rPr>
        <w:t>detailed events</w:t>
      </w:r>
      <w:r w:rsidR="00172253">
        <w:rPr>
          <w:b/>
          <w:i/>
          <w:sz w:val="20"/>
          <w:szCs w:val="20"/>
        </w:rPr>
        <w:t xml:space="preserve"> and triggering conditions</w:t>
      </w:r>
    </w:p>
    <w:p w14:paraId="20B2BA9C" w14:textId="77777777" w:rsidR="006F574B" w:rsidRDefault="006F574B" w:rsidP="006F21A8">
      <w:pPr>
        <w:jc w:val="both"/>
        <w:rPr>
          <w:b/>
          <w:i/>
          <w:sz w:val="20"/>
          <w:szCs w:val="20"/>
        </w:rPr>
      </w:pPr>
    </w:p>
    <w:p w14:paraId="01049638" w14:textId="19382CD0" w:rsidR="006F574B" w:rsidRPr="005A5E91" w:rsidRDefault="006F574B" w:rsidP="006F21A8">
      <w:pPr>
        <w:jc w:val="both"/>
        <w:rPr>
          <w:sz w:val="20"/>
          <w:szCs w:val="21"/>
        </w:rPr>
      </w:pPr>
      <w:r w:rsidRPr="005A5E91">
        <w:rPr>
          <w:sz w:val="20"/>
          <w:szCs w:val="21"/>
        </w:rPr>
        <w:t>For both P1 and P3 procedure, UE needs to performance Rx beam sweep. The number of Rx beams that UE need to sweep may not be known at the gNB</w:t>
      </w:r>
      <w:r w:rsidR="00C50579">
        <w:rPr>
          <w:sz w:val="20"/>
          <w:szCs w:val="21"/>
        </w:rPr>
        <w:t xml:space="preserve"> or may change dynamically</w:t>
      </w:r>
      <w:r w:rsidRPr="005A5E91">
        <w:rPr>
          <w:sz w:val="20"/>
          <w:szCs w:val="21"/>
        </w:rPr>
        <w:t>.</w:t>
      </w:r>
      <w:r w:rsidR="009F0ED5" w:rsidRPr="005A5E91">
        <w:rPr>
          <w:sz w:val="20"/>
          <w:szCs w:val="21"/>
        </w:rPr>
        <w:t xml:space="preserve"> There can be multiple reasons for UE to prefer sweeping different number of Rx beam, for example, some of the antenna panel could be blocked by the hand, </w:t>
      </w:r>
      <w:r w:rsidR="009254C9" w:rsidRPr="005A5E91">
        <w:rPr>
          <w:sz w:val="20"/>
          <w:szCs w:val="21"/>
        </w:rPr>
        <w:t>etc.</w:t>
      </w:r>
      <w:r w:rsidR="00894520" w:rsidRPr="005A5E91">
        <w:rPr>
          <w:sz w:val="20"/>
          <w:szCs w:val="21"/>
        </w:rPr>
        <w:t xml:space="preserve"> Similarly, for UL beam management, UE Tx beam sweep is required for U1/U3 procedure. It is </w:t>
      </w:r>
      <w:r w:rsidR="00C52F64" w:rsidRPr="005A5E91">
        <w:rPr>
          <w:sz w:val="20"/>
          <w:szCs w:val="21"/>
        </w:rPr>
        <w:t xml:space="preserve">beneficial </w:t>
      </w:r>
      <w:r w:rsidR="00894520" w:rsidRPr="005A5E91">
        <w:rPr>
          <w:sz w:val="20"/>
          <w:szCs w:val="21"/>
        </w:rPr>
        <w:t xml:space="preserve">for UE to request the number of resource for </w:t>
      </w:r>
      <w:r w:rsidR="00C52F64" w:rsidRPr="005A5E91">
        <w:rPr>
          <w:sz w:val="20"/>
          <w:szCs w:val="21"/>
        </w:rPr>
        <w:t xml:space="preserve">P3/U3 (P1/U1) </w:t>
      </w:r>
      <w:r w:rsidR="00894520" w:rsidRPr="005A5E91">
        <w:rPr>
          <w:sz w:val="20"/>
          <w:szCs w:val="21"/>
        </w:rPr>
        <w:t xml:space="preserve">beam management </w:t>
      </w:r>
      <w:r w:rsidR="00C52F64" w:rsidRPr="005A5E91">
        <w:rPr>
          <w:sz w:val="20"/>
          <w:szCs w:val="21"/>
        </w:rPr>
        <w:t>procedure</w:t>
      </w:r>
      <w:r w:rsidR="00894520" w:rsidRPr="005A5E91">
        <w:rPr>
          <w:sz w:val="20"/>
          <w:szCs w:val="21"/>
        </w:rPr>
        <w:t>. Therefore, we propose</w:t>
      </w:r>
    </w:p>
    <w:p w14:paraId="03ADB656" w14:textId="77777777" w:rsidR="006F574B" w:rsidRDefault="006F574B" w:rsidP="006F21A8">
      <w:pPr>
        <w:jc w:val="both"/>
        <w:rPr>
          <w:b/>
          <w:i/>
          <w:sz w:val="20"/>
          <w:szCs w:val="20"/>
        </w:rPr>
      </w:pPr>
    </w:p>
    <w:p w14:paraId="241368CE" w14:textId="4CAB0F5E" w:rsidR="002F6728" w:rsidRDefault="008C483A" w:rsidP="00536FF6">
      <w:pPr>
        <w:rPr>
          <w:b/>
          <w:i/>
          <w:sz w:val="20"/>
          <w:szCs w:val="20"/>
        </w:rPr>
      </w:pPr>
      <w:r w:rsidRPr="00430170">
        <w:rPr>
          <w:rFonts w:eastAsia="SimSun"/>
          <w:b/>
          <w:bCs/>
          <w:i/>
          <w:sz w:val="20"/>
          <w:szCs w:val="20"/>
          <w:u w:val="single"/>
        </w:rPr>
        <w:t xml:space="preserve">Proposal </w:t>
      </w:r>
      <w:r w:rsidR="00B929A6">
        <w:rPr>
          <w:rFonts w:eastAsia="SimSun"/>
          <w:b/>
          <w:bCs/>
          <w:i/>
          <w:sz w:val="20"/>
          <w:szCs w:val="20"/>
          <w:u w:val="single"/>
        </w:rPr>
        <w:t>3</w:t>
      </w:r>
      <w:r w:rsidRPr="00430170">
        <w:rPr>
          <w:rFonts w:eastAsia="SimSun"/>
          <w:bCs/>
          <w:i/>
          <w:sz w:val="20"/>
          <w:szCs w:val="20"/>
        </w:rPr>
        <w:t xml:space="preserve">: </w:t>
      </w:r>
      <w:r>
        <w:rPr>
          <w:b/>
          <w:i/>
          <w:sz w:val="20"/>
          <w:szCs w:val="20"/>
        </w:rPr>
        <w:t xml:space="preserve">NR to support UE request for </w:t>
      </w:r>
      <w:r w:rsidR="002F6728">
        <w:rPr>
          <w:b/>
          <w:i/>
          <w:sz w:val="20"/>
          <w:szCs w:val="20"/>
        </w:rPr>
        <w:t>the number of resource</w:t>
      </w:r>
      <w:r w:rsidR="00342855">
        <w:rPr>
          <w:b/>
          <w:i/>
          <w:sz w:val="20"/>
          <w:szCs w:val="20"/>
        </w:rPr>
        <w:t>s</w:t>
      </w:r>
      <w:r w:rsidR="002F6728">
        <w:rPr>
          <w:b/>
          <w:i/>
          <w:sz w:val="20"/>
          <w:szCs w:val="20"/>
        </w:rPr>
        <w:t xml:space="preserve"> for P3</w:t>
      </w:r>
      <w:r w:rsidR="00245879">
        <w:rPr>
          <w:b/>
          <w:i/>
          <w:sz w:val="20"/>
          <w:szCs w:val="20"/>
        </w:rPr>
        <w:t>/U3</w:t>
      </w:r>
      <w:r w:rsidR="002F6728">
        <w:rPr>
          <w:b/>
          <w:i/>
          <w:sz w:val="20"/>
          <w:szCs w:val="20"/>
        </w:rPr>
        <w:t xml:space="preserve"> (P1</w:t>
      </w:r>
      <w:r w:rsidR="00245879">
        <w:rPr>
          <w:b/>
          <w:i/>
          <w:sz w:val="20"/>
          <w:szCs w:val="20"/>
        </w:rPr>
        <w:t>/U1</w:t>
      </w:r>
      <w:r w:rsidR="002F6728">
        <w:rPr>
          <w:b/>
          <w:i/>
          <w:sz w:val="20"/>
          <w:szCs w:val="20"/>
        </w:rPr>
        <w:t xml:space="preserve">) </w:t>
      </w:r>
      <w:r w:rsidR="00FD77AB">
        <w:rPr>
          <w:b/>
          <w:i/>
          <w:sz w:val="20"/>
          <w:szCs w:val="20"/>
        </w:rPr>
        <w:t xml:space="preserve">beam management </w:t>
      </w:r>
      <w:r w:rsidR="002F6728">
        <w:rPr>
          <w:b/>
          <w:i/>
          <w:sz w:val="20"/>
          <w:szCs w:val="20"/>
        </w:rPr>
        <w:t>procedure</w:t>
      </w:r>
    </w:p>
    <w:p w14:paraId="45EE19D1" w14:textId="77777777" w:rsidR="00BC674A" w:rsidRDefault="00BC674A" w:rsidP="00BC674A">
      <w:pPr>
        <w:pStyle w:val="Heading1"/>
      </w:pPr>
      <w:r>
        <w:t xml:space="preserve">UE Request to Change the Configurations of Periodic and Aperiodic Beam Measurement/Reporting </w:t>
      </w:r>
    </w:p>
    <w:p w14:paraId="01A4EB59" w14:textId="3E6FEF8C" w:rsidR="00C1159D" w:rsidRPr="00D65BA7" w:rsidRDefault="00C1159D" w:rsidP="00BC674A">
      <w:pPr>
        <w:rPr>
          <w:sz w:val="20"/>
          <w:szCs w:val="20"/>
        </w:rPr>
      </w:pPr>
      <w:r w:rsidRPr="00D65BA7">
        <w:rPr>
          <w:sz w:val="20"/>
          <w:szCs w:val="20"/>
        </w:rPr>
        <w:t xml:space="preserve">As we discussed before, for periodic and semi-persistent beam measurement, periodic and semi-persistent resources should be configured. In order to ensure robust beam management and react to the beam change promptly, gNB has to configure frequent enough </w:t>
      </w:r>
      <w:r w:rsidR="005309B2">
        <w:rPr>
          <w:sz w:val="20"/>
          <w:szCs w:val="20"/>
        </w:rPr>
        <w:t>measurement</w:t>
      </w:r>
      <w:r w:rsidR="0007722E">
        <w:rPr>
          <w:sz w:val="20"/>
          <w:szCs w:val="20"/>
        </w:rPr>
        <w:t xml:space="preserve"> </w:t>
      </w:r>
      <w:r w:rsidRPr="00D65BA7">
        <w:rPr>
          <w:sz w:val="20"/>
          <w:szCs w:val="20"/>
        </w:rPr>
        <w:t>resources.</w:t>
      </w:r>
    </w:p>
    <w:p w14:paraId="1F00DC8B" w14:textId="77777777" w:rsidR="007B55A3" w:rsidRPr="00D65BA7" w:rsidRDefault="007B55A3" w:rsidP="00BC674A">
      <w:pPr>
        <w:rPr>
          <w:sz w:val="20"/>
          <w:szCs w:val="20"/>
        </w:rPr>
      </w:pPr>
    </w:p>
    <w:p w14:paraId="5A61415D" w14:textId="7841D88C" w:rsidR="00BC674A" w:rsidRPr="00D65BA7" w:rsidRDefault="007B55A3" w:rsidP="00BC674A">
      <w:pPr>
        <w:rPr>
          <w:sz w:val="20"/>
          <w:szCs w:val="20"/>
        </w:rPr>
      </w:pPr>
      <w:r w:rsidRPr="00D65BA7">
        <w:rPr>
          <w:sz w:val="20"/>
          <w:szCs w:val="20"/>
        </w:rPr>
        <w:t xml:space="preserve">Typically, </w:t>
      </w:r>
      <w:r w:rsidR="00BC674A" w:rsidRPr="00D65BA7">
        <w:rPr>
          <w:sz w:val="20"/>
          <w:szCs w:val="20"/>
        </w:rPr>
        <w:t xml:space="preserve">UE has better knowledge about its mobility, channel condition, </w:t>
      </w:r>
      <w:r w:rsidR="005309B2">
        <w:rPr>
          <w:sz w:val="20"/>
          <w:szCs w:val="20"/>
        </w:rPr>
        <w:t>etc. A</w:t>
      </w:r>
      <w:r w:rsidR="00BC674A" w:rsidRPr="00D65BA7">
        <w:rPr>
          <w:sz w:val="20"/>
          <w:szCs w:val="20"/>
        </w:rPr>
        <w:t>llowing UE to request beam measurement and reporting configurations can potentially improve the robust of the beam management while minimizing the overhead of the reference signals and measurement report. It is up to gNB to modify/activate/deactivate measurement configurations upon reception of UE request</w:t>
      </w:r>
    </w:p>
    <w:p w14:paraId="60156FD7" w14:textId="77777777" w:rsidR="00BC674A" w:rsidRPr="00D65BA7" w:rsidRDefault="00BC674A" w:rsidP="00BC674A">
      <w:pPr>
        <w:rPr>
          <w:b/>
          <w:sz w:val="20"/>
          <w:szCs w:val="20"/>
        </w:rPr>
      </w:pPr>
    </w:p>
    <w:p w14:paraId="317069E4" w14:textId="6462FF79" w:rsidR="00BC674A" w:rsidRPr="00D65BA7" w:rsidRDefault="00BC674A" w:rsidP="00BC674A">
      <w:pPr>
        <w:rPr>
          <w:sz w:val="20"/>
          <w:szCs w:val="20"/>
        </w:rPr>
      </w:pPr>
      <w:r w:rsidRPr="00D65BA7">
        <w:rPr>
          <w:sz w:val="20"/>
          <w:szCs w:val="20"/>
        </w:rPr>
        <w:t>For periodic</w:t>
      </w:r>
      <w:r w:rsidR="004D2F47" w:rsidRPr="00D65BA7">
        <w:rPr>
          <w:sz w:val="20"/>
          <w:szCs w:val="20"/>
        </w:rPr>
        <w:t xml:space="preserve"> and semi-persistent</w:t>
      </w:r>
      <w:r w:rsidRPr="00D65BA7">
        <w:rPr>
          <w:sz w:val="20"/>
          <w:szCs w:val="20"/>
        </w:rPr>
        <w:t xml:space="preserve"> measurement, UE can re</w:t>
      </w:r>
      <w:r w:rsidR="00373777" w:rsidRPr="00D65BA7">
        <w:rPr>
          <w:sz w:val="20"/>
          <w:szCs w:val="20"/>
        </w:rPr>
        <w:t xml:space="preserve">quest to change the periodicity as illustrated in </w:t>
      </w:r>
      <w:r w:rsidR="00B62CB5" w:rsidRPr="00D65BA7">
        <w:rPr>
          <w:sz w:val="20"/>
          <w:szCs w:val="20"/>
        </w:rPr>
        <w:fldChar w:fldCharType="begin"/>
      </w:r>
      <w:r w:rsidR="00B62CB5" w:rsidRPr="00D65BA7">
        <w:rPr>
          <w:sz w:val="20"/>
          <w:szCs w:val="20"/>
        </w:rPr>
        <w:instrText xml:space="preserve"> REF _Ref498333774 \h </w:instrText>
      </w:r>
      <w:r w:rsidR="00D65BA7">
        <w:rPr>
          <w:sz w:val="20"/>
          <w:szCs w:val="20"/>
        </w:rPr>
        <w:instrText xml:space="preserve"> \* MERGEFORMAT </w:instrText>
      </w:r>
      <w:r w:rsidR="00B62CB5" w:rsidRPr="00D65BA7">
        <w:rPr>
          <w:sz w:val="20"/>
          <w:szCs w:val="20"/>
        </w:rPr>
      </w:r>
      <w:r w:rsidR="00B62CB5" w:rsidRPr="00D65BA7">
        <w:rPr>
          <w:sz w:val="20"/>
          <w:szCs w:val="20"/>
        </w:rPr>
        <w:fldChar w:fldCharType="separate"/>
      </w:r>
      <w:r w:rsidR="00B62CB5" w:rsidRPr="00D65BA7">
        <w:rPr>
          <w:sz w:val="20"/>
          <w:szCs w:val="20"/>
        </w:rPr>
        <w:t xml:space="preserve">Figure </w:t>
      </w:r>
      <w:r w:rsidR="00B62CB5" w:rsidRPr="00D65BA7">
        <w:rPr>
          <w:noProof/>
          <w:sz w:val="20"/>
          <w:szCs w:val="20"/>
        </w:rPr>
        <w:t>3</w:t>
      </w:r>
      <w:r w:rsidR="00B62CB5" w:rsidRPr="00D65BA7">
        <w:rPr>
          <w:sz w:val="20"/>
          <w:szCs w:val="20"/>
        </w:rPr>
        <w:fldChar w:fldCharType="end"/>
      </w:r>
      <w:r w:rsidR="005915F4" w:rsidRPr="00D65BA7">
        <w:rPr>
          <w:sz w:val="20"/>
          <w:szCs w:val="20"/>
        </w:rPr>
        <w:t>.</w:t>
      </w:r>
      <w:r w:rsidR="00C41CC9" w:rsidRPr="00D65BA7">
        <w:rPr>
          <w:sz w:val="20"/>
          <w:szCs w:val="20"/>
        </w:rPr>
        <w:t xml:space="preserve"> In this example, UE is initially configured with </w:t>
      </w:r>
      <w:r w:rsidR="003F231C">
        <w:rPr>
          <w:sz w:val="20"/>
          <w:szCs w:val="20"/>
        </w:rPr>
        <w:t>beam measurement</w:t>
      </w:r>
      <w:r w:rsidR="00C41CC9" w:rsidRPr="00D65BA7">
        <w:rPr>
          <w:sz w:val="20"/>
          <w:szCs w:val="20"/>
        </w:rPr>
        <w:t xml:space="preserve"> resource with short periodicity</w:t>
      </w:r>
      <w:r w:rsidR="004C6D87" w:rsidRPr="00D65BA7">
        <w:rPr>
          <w:sz w:val="20"/>
          <w:szCs w:val="20"/>
        </w:rPr>
        <w:t>.</w:t>
      </w:r>
      <w:r w:rsidR="00F11AF0" w:rsidRPr="00D65BA7">
        <w:rPr>
          <w:sz w:val="20"/>
          <w:szCs w:val="20"/>
        </w:rPr>
        <w:t xml:space="preserve"> </w:t>
      </w:r>
      <w:r w:rsidR="006B30F3" w:rsidRPr="00D65BA7">
        <w:rPr>
          <w:sz w:val="20"/>
          <w:szCs w:val="20"/>
        </w:rPr>
        <w:t>The short periodicity is needed when UE is in high mobility, while longer periodicity is enough when UE ha</w:t>
      </w:r>
      <w:r w:rsidR="00AD6DAC">
        <w:rPr>
          <w:sz w:val="20"/>
          <w:szCs w:val="20"/>
        </w:rPr>
        <w:t xml:space="preserve">s low mobility, or semi-static. </w:t>
      </w:r>
      <w:r w:rsidR="00A72E28">
        <w:rPr>
          <w:sz w:val="20"/>
          <w:szCs w:val="20"/>
        </w:rPr>
        <w:t>Generally speaking</w:t>
      </w:r>
      <w:r w:rsidR="00CF41DD" w:rsidRPr="00D65BA7">
        <w:rPr>
          <w:sz w:val="20"/>
          <w:szCs w:val="20"/>
        </w:rPr>
        <w:t xml:space="preserve">, device </w:t>
      </w:r>
      <w:r w:rsidR="00A52F7D" w:rsidRPr="00D65BA7">
        <w:rPr>
          <w:sz w:val="20"/>
          <w:szCs w:val="20"/>
        </w:rPr>
        <w:t>is</w:t>
      </w:r>
      <w:r w:rsidR="00CF41DD" w:rsidRPr="00D65BA7">
        <w:rPr>
          <w:sz w:val="20"/>
          <w:szCs w:val="20"/>
        </w:rPr>
        <w:t xml:space="preserve"> able to detect the mobility status change faster than gNB. Therefore, UE can request to change the periodicity of the reference </w:t>
      </w:r>
      <w:r w:rsidR="00B81698" w:rsidRPr="00D65BA7">
        <w:rPr>
          <w:sz w:val="20"/>
          <w:szCs w:val="20"/>
        </w:rPr>
        <w:t>signals</w:t>
      </w:r>
      <w:r w:rsidR="00CF41DD" w:rsidRPr="00D65BA7">
        <w:rPr>
          <w:sz w:val="20"/>
          <w:szCs w:val="20"/>
        </w:rPr>
        <w:t xml:space="preserve">, i.e. make it longer, in order to save the overhead as well as </w:t>
      </w:r>
      <w:r w:rsidR="00C22B48" w:rsidRPr="00D65BA7">
        <w:rPr>
          <w:sz w:val="20"/>
          <w:szCs w:val="20"/>
        </w:rPr>
        <w:t>to r</w:t>
      </w:r>
      <w:r w:rsidR="004763D1" w:rsidRPr="00D65BA7">
        <w:rPr>
          <w:sz w:val="20"/>
          <w:szCs w:val="20"/>
        </w:rPr>
        <w:t xml:space="preserve">educe </w:t>
      </w:r>
      <w:r w:rsidR="00CF41DD" w:rsidRPr="00D65BA7">
        <w:rPr>
          <w:sz w:val="20"/>
          <w:szCs w:val="20"/>
        </w:rPr>
        <w:t>the measurement reports</w:t>
      </w:r>
      <w:r w:rsidR="008D1E9B" w:rsidRPr="00D65BA7">
        <w:rPr>
          <w:sz w:val="20"/>
          <w:szCs w:val="20"/>
        </w:rPr>
        <w:t xml:space="preserve"> as shown in </w:t>
      </w:r>
      <w:r w:rsidR="008D1E9B" w:rsidRPr="00D65BA7">
        <w:rPr>
          <w:sz w:val="20"/>
          <w:szCs w:val="20"/>
        </w:rPr>
        <w:fldChar w:fldCharType="begin"/>
      </w:r>
      <w:r w:rsidR="008D1E9B" w:rsidRPr="00D65BA7">
        <w:rPr>
          <w:sz w:val="20"/>
          <w:szCs w:val="20"/>
        </w:rPr>
        <w:instrText xml:space="preserve"> REF _Ref498333774 \h </w:instrText>
      </w:r>
      <w:r w:rsidR="00D65BA7">
        <w:rPr>
          <w:sz w:val="20"/>
          <w:szCs w:val="20"/>
        </w:rPr>
        <w:instrText xml:space="preserve"> \* MERGEFORMAT </w:instrText>
      </w:r>
      <w:r w:rsidR="008D1E9B" w:rsidRPr="00D65BA7">
        <w:rPr>
          <w:sz w:val="20"/>
          <w:szCs w:val="20"/>
        </w:rPr>
      </w:r>
      <w:r w:rsidR="008D1E9B" w:rsidRPr="00D65BA7">
        <w:rPr>
          <w:sz w:val="20"/>
          <w:szCs w:val="20"/>
        </w:rPr>
        <w:fldChar w:fldCharType="separate"/>
      </w:r>
      <w:r w:rsidR="008D1E9B" w:rsidRPr="00D65BA7">
        <w:rPr>
          <w:sz w:val="20"/>
          <w:szCs w:val="20"/>
        </w:rPr>
        <w:t xml:space="preserve">Figure </w:t>
      </w:r>
      <w:r w:rsidR="008D1E9B" w:rsidRPr="00D65BA7">
        <w:rPr>
          <w:noProof/>
          <w:sz w:val="20"/>
          <w:szCs w:val="20"/>
        </w:rPr>
        <w:t>3</w:t>
      </w:r>
      <w:r w:rsidR="008D1E9B" w:rsidRPr="00D65BA7">
        <w:rPr>
          <w:sz w:val="20"/>
          <w:szCs w:val="20"/>
        </w:rPr>
        <w:fldChar w:fldCharType="end"/>
      </w:r>
      <w:r w:rsidR="008D1E9B" w:rsidRPr="00D65BA7">
        <w:rPr>
          <w:sz w:val="20"/>
          <w:szCs w:val="20"/>
        </w:rPr>
        <w:t>.</w:t>
      </w:r>
    </w:p>
    <w:p w14:paraId="012604B2" w14:textId="77777777" w:rsidR="00856C61" w:rsidRDefault="00856C61" w:rsidP="00BC674A">
      <w:pPr>
        <w:rPr>
          <w:sz w:val="21"/>
          <w:szCs w:val="21"/>
        </w:rPr>
      </w:pPr>
    </w:p>
    <w:p w14:paraId="20D38650" w14:textId="77777777" w:rsidR="004F3C13" w:rsidRDefault="004F3C13" w:rsidP="004F3C13">
      <w:pPr>
        <w:keepNext/>
      </w:pPr>
      <w:r w:rsidRPr="004F3C13">
        <w:rPr>
          <w:noProof/>
          <w:sz w:val="21"/>
          <w:szCs w:val="21"/>
        </w:rPr>
        <w:drawing>
          <wp:inline distT="0" distB="0" distL="0" distR="0" wp14:anchorId="18464031" wp14:editId="0FF4E0B1">
            <wp:extent cx="6120765" cy="219011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190115"/>
                    </a:xfrm>
                    <a:prstGeom prst="rect">
                      <a:avLst/>
                    </a:prstGeom>
                  </pic:spPr>
                </pic:pic>
              </a:graphicData>
            </a:graphic>
          </wp:inline>
        </w:drawing>
      </w:r>
    </w:p>
    <w:p w14:paraId="2A8EC24F" w14:textId="646381C8" w:rsidR="00856C61" w:rsidRPr="004F3C13" w:rsidRDefault="004F3C13" w:rsidP="004F3C13">
      <w:pPr>
        <w:pStyle w:val="Caption"/>
        <w:rPr>
          <w:sz w:val="20"/>
          <w:szCs w:val="20"/>
        </w:rPr>
      </w:pPr>
      <w:bookmarkStart w:id="3" w:name="_Ref498333774"/>
      <w:r w:rsidRPr="004F3C13">
        <w:rPr>
          <w:sz w:val="20"/>
          <w:szCs w:val="20"/>
        </w:rPr>
        <w:t xml:space="preserve">Figure </w:t>
      </w:r>
      <w:r w:rsidRPr="004F3C13">
        <w:rPr>
          <w:sz w:val="20"/>
          <w:szCs w:val="20"/>
        </w:rPr>
        <w:fldChar w:fldCharType="begin"/>
      </w:r>
      <w:r w:rsidRPr="004F3C13">
        <w:rPr>
          <w:sz w:val="20"/>
          <w:szCs w:val="20"/>
        </w:rPr>
        <w:instrText xml:space="preserve"> SEQ Figure \* ARABIC </w:instrText>
      </w:r>
      <w:r w:rsidRPr="004F3C13">
        <w:rPr>
          <w:sz w:val="20"/>
          <w:szCs w:val="20"/>
        </w:rPr>
        <w:fldChar w:fldCharType="separate"/>
      </w:r>
      <w:r w:rsidR="00AA5AC0">
        <w:rPr>
          <w:noProof/>
          <w:sz w:val="20"/>
          <w:szCs w:val="20"/>
        </w:rPr>
        <w:t>3</w:t>
      </w:r>
      <w:r w:rsidRPr="004F3C13">
        <w:rPr>
          <w:sz w:val="20"/>
          <w:szCs w:val="20"/>
        </w:rPr>
        <w:fldChar w:fldCharType="end"/>
      </w:r>
      <w:bookmarkEnd w:id="3"/>
      <w:r w:rsidRPr="004F3C13">
        <w:rPr>
          <w:sz w:val="20"/>
          <w:szCs w:val="20"/>
        </w:rPr>
        <w:t xml:space="preserve"> UE request to change the periodicity of the periodic/semi-persistent beam measurement</w:t>
      </w:r>
    </w:p>
    <w:p w14:paraId="409B210D" w14:textId="57B14EAC" w:rsidR="00BC674A" w:rsidRPr="00D65BA7" w:rsidRDefault="00FD1E1B" w:rsidP="00BC674A">
      <w:pPr>
        <w:rPr>
          <w:sz w:val="20"/>
          <w:szCs w:val="20"/>
        </w:rPr>
      </w:pPr>
      <w:r w:rsidRPr="00D65BA7">
        <w:rPr>
          <w:sz w:val="20"/>
          <w:szCs w:val="20"/>
        </w:rPr>
        <w:t>For a</w:t>
      </w:r>
      <w:r w:rsidR="00BC674A" w:rsidRPr="00D65BA7">
        <w:rPr>
          <w:sz w:val="20"/>
          <w:szCs w:val="20"/>
        </w:rPr>
        <w:t xml:space="preserve">periodic </w:t>
      </w:r>
      <w:r w:rsidRPr="00D65BA7">
        <w:rPr>
          <w:sz w:val="20"/>
          <w:szCs w:val="20"/>
        </w:rPr>
        <w:t xml:space="preserve">event </w:t>
      </w:r>
      <w:r w:rsidR="005915F4" w:rsidRPr="00D65BA7">
        <w:rPr>
          <w:sz w:val="20"/>
          <w:szCs w:val="20"/>
        </w:rPr>
        <w:t>triggered</w:t>
      </w:r>
      <w:r w:rsidRPr="00D65BA7">
        <w:rPr>
          <w:sz w:val="20"/>
          <w:szCs w:val="20"/>
        </w:rPr>
        <w:t xml:space="preserve"> </w:t>
      </w:r>
      <w:r w:rsidR="00BC674A" w:rsidRPr="00D65BA7">
        <w:rPr>
          <w:sz w:val="20"/>
          <w:szCs w:val="20"/>
        </w:rPr>
        <w:t>measurement reporting, UE can request to activat</w:t>
      </w:r>
      <w:r w:rsidR="00F33232" w:rsidRPr="00D65BA7">
        <w:rPr>
          <w:sz w:val="20"/>
          <w:szCs w:val="20"/>
        </w:rPr>
        <w:t>e</w:t>
      </w:r>
      <w:r w:rsidR="00BC674A" w:rsidRPr="00D65BA7">
        <w:rPr>
          <w:sz w:val="20"/>
          <w:szCs w:val="20"/>
        </w:rPr>
        <w:t xml:space="preserve"> and deactivat</w:t>
      </w:r>
      <w:r w:rsidR="00F33232" w:rsidRPr="00D65BA7">
        <w:rPr>
          <w:sz w:val="20"/>
          <w:szCs w:val="20"/>
        </w:rPr>
        <w:t>e</w:t>
      </w:r>
      <w:r w:rsidR="00BC674A" w:rsidRPr="00D65BA7">
        <w:rPr>
          <w:sz w:val="20"/>
          <w:szCs w:val="20"/>
        </w:rPr>
        <w:t xml:space="preserve"> of certain events, as well as the configuration (TTT, hysteresis</w:t>
      </w:r>
      <w:r w:rsidR="00D40B6E" w:rsidRPr="00D65BA7">
        <w:rPr>
          <w:sz w:val="20"/>
          <w:szCs w:val="20"/>
        </w:rPr>
        <w:t>, offset etc.</w:t>
      </w:r>
      <w:r w:rsidR="00BC674A" w:rsidRPr="00D65BA7">
        <w:rPr>
          <w:sz w:val="20"/>
          <w:szCs w:val="20"/>
        </w:rPr>
        <w:t>) of the event</w:t>
      </w:r>
      <w:r w:rsidR="00CF6F64" w:rsidRPr="00D65BA7">
        <w:rPr>
          <w:sz w:val="20"/>
          <w:szCs w:val="20"/>
        </w:rPr>
        <w:t xml:space="preserve">. </w:t>
      </w:r>
      <w:r w:rsidR="00A64658" w:rsidRPr="00D65BA7">
        <w:rPr>
          <w:sz w:val="20"/>
          <w:szCs w:val="20"/>
        </w:rPr>
        <w:fldChar w:fldCharType="begin"/>
      </w:r>
      <w:r w:rsidR="00A64658" w:rsidRPr="00D65BA7">
        <w:rPr>
          <w:sz w:val="20"/>
          <w:szCs w:val="20"/>
        </w:rPr>
        <w:instrText xml:space="preserve"> REF _Ref498334636 \h </w:instrText>
      </w:r>
      <w:r w:rsidR="00D65BA7">
        <w:rPr>
          <w:sz w:val="20"/>
          <w:szCs w:val="20"/>
        </w:rPr>
        <w:instrText xml:space="preserve"> \* MERGEFORMAT </w:instrText>
      </w:r>
      <w:r w:rsidR="00A64658" w:rsidRPr="00D65BA7">
        <w:rPr>
          <w:sz w:val="20"/>
          <w:szCs w:val="20"/>
        </w:rPr>
      </w:r>
      <w:r w:rsidR="00A64658" w:rsidRPr="00D65BA7">
        <w:rPr>
          <w:sz w:val="20"/>
          <w:szCs w:val="20"/>
        </w:rPr>
        <w:fldChar w:fldCharType="separate"/>
      </w:r>
      <w:r w:rsidR="00A64658" w:rsidRPr="00D65BA7">
        <w:rPr>
          <w:sz w:val="20"/>
          <w:szCs w:val="20"/>
        </w:rPr>
        <w:t xml:space="preserve">Figure </w:t>
      </w:r>
      <w:r w:rsidR="00A64658" w:rsidRPr="00D65BA7">
        <w:rPr>
          <w:noProof/>
          <w:sz w:val="20"/>
          <w:szCs w:val="20"/>
        </w:rPr>
        <w:t>4</w:t>
      </w:r>
      <w:r w:rsidR="00A64658" w:rsidRPr="00D65BA7">
        <w:rPr>
          <w:sz w:val="20"/>
          <w:szCs w:val="20"/>
        </w:rPr>
        <w:fldChar w:fldCharType="end"/>
      </w:r>
      <w:r w:rsidR="00A64658" w:rsidRPr="00D65BA7">
        <w:rPr>
          <w:sz w:val="20"/>
          <w:szCs w:val="20"/>
        </w:rPr>
        <w:t xml:space="preserve"> illustrates that UE can request to active the new event.</w:t>
      </w:r>
      <w:r w:rsidR="00BC674A" w:rsidRPr="00D65BA7">
        <w:rPr>
          <w:sz w:val="20"/>
          <w:szCs w:val="20"/>
        </w:rPr>
        <w:t xml:space="preserve"> </w:t>
      </w:r>
    </w:p>
    <w:p w14:paraId="524261DD" w14:textId="77777777" w:rsidR="00D65BA7" w:rsidRDefault="00D65BA7" w:rsidP="00BC674A">
      <w:pPr>
        <w:rPr>
          <w:sz w:val="21"/>
          <w:szCs w:val="21"/>
        </w:rPr>
      </w:pPr>
    </w:p>
    <w:p w14:paraId="261AAD65" w14:textId="77777777" w:rsidR="009573BE" w:rsidRDefault="009573BE" w:rsidP="009573BE">
      <w:pPr>
        <w:keepNext/>
      </w:pPr>
      <w:r w:rsidRPr="009573BE">
        <w:rPr>
          <w:noProof/>
          <w:sz w:val="21"/>
          <w:szCs w:val="21"/>
        </w:rPr>
        <w:lastRenderedPageBreak/>
        <w:drawing>
          <wp:inline distT="0" distB="0" distL="0" distR="0" wp14:anchorId="7C1D6B91" wp14:editId="28DF4178">
            <wp:extent cx="6120765" cy="1798320"/>
            <wp:effectExtent l="0" t="0" r="63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798320"/>
                    </a:xfrm>
                    <a:prstGeom prst="rect">
                      <a:avLst/>
                    </a:prstGeom>
                  </pic:spPr>
                </pic:pic>
              </a:graphicData>
            </a:graphic>
          </wp:inline>
        </w:drawing>
      </w:r>
    </w:p>
    <w:p w14:paraId="679F3A87" w14:textId="7F5ED1C2" w:rsidR="009573BE" w:rsidRPr="009573BE" w:rsidRDefault="009573BE" w:rsidP="009573BE">
      <w:pPr>
        <w:pStyle w:val="Caption"/>
        <w:rPr>
          <w:sz w:val="20"/>
          <w:szCs w:val="20"/>
        </w:rPr>
      </w:pPr>
      <w:bookmarkStart w:id="4" w:name="_Ref498334636"/>
      <w:r w:rsidRPr="009573BE">
        <w:rPr>
          <w:sz w:val="20"/>
          <w:szCs w:val="20"/>
        </w:rPr>
        <w:t xml:space="preserve">Figure </w:t>
      </w:r>
      <w:r w:rsidRPr="009573BE">
        <w:rPr>
          <w:sz w:val="20"/>
          <w:szCs w:val="20"/>
        </w:rPr>
        <w:fldChar w:fldCharType="begin"/>
      </w:r>
      <w:r w:rsidRPr="009573BE">
        <w:rPr>
          <w:sz w:val="20"/>
          <w:szCs w:val="20"/>
        </w:rPr>
        <w:instrText xml:space="preserve"> SEQ Figure \* ARABIC </w:instrText>
      </w:r>
      <w:r w:rsidRPr="009573BE">
        <w:rPr>
          <w:sz w:val="20"/>
          <w:szCs w:val="20"/>
        </w:rPr>
        <w:fldChar w:fldCharType="separate"/>
      </w:r>
      <w:r w:rsidR="00AA5AC0">
        <w:rPr>
          <w:noProof/>
          <w:sz w:val="20"/>
          <w:szCs w:val="20"/>
        </w:rPr>
        <w:t>4</w:t>
      </w:r>
      <w:r w:rsidRPr="009573BE">
        <w:rPr>
          <w:sz w:val="20"/>
          <w:szCs w:val="20"/>
        </w:rPr>
        <w:fldChar w:fldCharType="end"/>
      </w:r>
      <w:bookmarkEnd w:id="4"/>
      <w:r w:rsidRPr="009573BE">
        <w:rPr>
          <w:sz w:val="20"/>
          <w:szCs w:val="20"/>
        </w:rPr>
        <w:t xml:space="preserve"> UE request to activate/deactivate event trigger</w:t>
      </w:r>
      <w:r w:rsidR="00E32773">
        <w:rPr>
          <w:sz w:val="20"/>
          <w:szCs w:val="20"/>
        </w:rPr>
        <w:t xml:space="preserve">ed </w:t>
      </w:r>
      <w:r w:rsidRPr="009573BE">
        <w:rPr>
          <w:sz w:val="20"/>
          <w:szCs w:val="20"/>
        </w:rPr>
        <w:t>measurement reporting</w:t>
      </w:r>
      <w:r w:rsidR="009F2B8D">
        <w:rPr>
          <w:sz w:val="20"/>
          <w:szCs w:val="20"/>
        </w:rPr>
        <w:t xml:space="preserve"> and its </w:t>
      </w:r>
      <w:r w:rsidRPr="009573BE">
        <w:rPr>
          <w:sz w:val="20"/>
          <w:szCs w:val="20"/>
        </w:rPr>
        <w:t>configurations</w:t>
      </w:r>
    </w:p>
    <w:p w14:paraId="015EF1B7" w14:textId="1F3C4814" w:rsidR="00BC674A" w:rsidRDefault="00BC674A" w:rsidP="00BC674A">
      <w:pPr>
        <w:jc w:val="both"/>
        <w:rPr>
          <w:b/>
          <w:i/>
          <w:sz w:val="20"/>
          <w:szCs w:val="20"/>
        </w:rPr>
      </w:pPr>
      <w:r w:rsidRPr="00430170">
        <w:rPr>
          <w:rFonts w:eastAsia="SimSun"/>
          <w:b/>
          <w:bCs/>
          <w:i/>
          <w:sz w:val="20"/>
          <w:szCs w:val="20"/>
          <w:u w:val="single"/>
        </w:rPr>
        <w:t xml:space="preserve">Proposal </w:t>
      </w:r>
      <w:r w:rsidR="00B929A6">
        <w:rPr>
          <w:rFonts w:eastAsia="SimSun"/>
          <w:b/>
          <w:bCs/>
          <w:i/>
          <w:sz w:val="20"/>
          <w:szCs w:val="20"/>
          <w:u w:val="single"/>
        </w:rPr>
        <w:t>4</w:t>
      </w:r>
      <w:r w:rsidRPr="00430170">
        <w:rPr>
          <w:rFonts w:eastAsia="SimSun"/>
          <w:bCs/>
          <w:i/>
          <w:sz w:val="20"/>
          <w:szCs w:val="20"/>
        </w:rPr>
        <w:t xml:space="preserve">: </w:t>
      </w:r>
      <w:r>
        <w:rPr>
          <w:b/>
          <w:i/>
          <w:sz w:val="20"/>
          <w:szCs w:val="20"/>
        </w:rPr>
        <w:t>NR to consider supporting of UE to request the preferred configuration of periodic and Aperiodic beam measurement/reporting</w:t>
      </w:r>
    </w:p>
    <w:p w14:paraId="433A65AE" w14:textId="77777777" w:rsidR="00166CA5" w:rsidRDefault="00166CA5" w:rsidP="00235CD6">
      <w:pPr>
        <w:pStyle w:val="Heading1"/>
      </w:pPr>
      <w:r>
        <w:t>PDCCH or GC-PDCCH Beam Indication in DCI</w:t>
      </w:r>
    </w:p>
    <w:p w14:paraId="15F3EF3F" w14:textId="5AB054B7" w:rsidR="001D47C5" w:rsidRDefault="00790EA3" w:rsidP="00BC674A">
      <w:pPr>
        <w:jc w:val="both"/>
        <w:rPr>
          <w:sz w:val="20"/>
          <w:szCs w:val="20"/>
        </w:rPr>
      </w:pPr>
      <w:r>
        <w:rPr>
          <w:sz w:val="20"/>
          <w:szCs w:val="20"/>
        </w:rPr>
        <w:t xml:space="preserve">Based on the current RAN1 agreement, the data channel (PDSCH) decoding can use the TCI field in DCI which enjoys more dynamic </w:t>
      </w:r>
      <w:r w:rsidR="001D47C5">
        <w:rPr>
          <w:sz w:val="20"/>
          <w:szCs w:val="20"/>
        </w:rPr>
        <w:t xml:space="preserve">and fast beam </w:t>
      </w:r>
      <w:r w:rsidR="00B771E3">
        <w:rPr>
          <w:sz w:val="20"/>
          <w:szCs w:val="20"/>
        </w:rPr>
        <w:t xml:space="preserve">configuration </w:t>
      </w:r>
      <w:r w:rsidR="001D47C5">
        <w:rPr>
          <w:sz w:val="20"/>
          <w:szCs w:val="20"/>
        </w:rPr>
        <w:t>change. On the other side, the control channel, (GC)-PDCCH, relies on RRC or MAC-CE to change its beam which is typically slower compared to L1 DCI.</w:t>
      </w:r>
    </w:p>
    <w:p w14:paraId="117A8A7C" w14:textId="77777777" w:rsidR="0099477F" w:rsidRDefault="0099477F" w:rsidP="00BC674A">
      <w:pPr>
        <w:jc w:val="both"/>
        <w:rPr>
          <w:sz w:val="20"/>
          <w:szCs w:val="20"/>
        </w:rPr>
      </w:pPr>
    </w:p>
    <w:p w14:paraId="6B639E30" w14:textId="77777777" w:rsidR="009E54DD" w:rsidRDefault="00900D06" w:rsidP="00BC674A">
      <w:pPr>
        <w:jc w:val="both"/>
        <w:rPr>
          <w:sz w:val="20"/>
          <w:szCs w:val="20"/>
        </w:rPr>
      </w:pPr>
      <w:r>
        <w:rPr>
          <w:sz w:val="20"/>
          <w:szCs w:val="20"/>
        </w:rPr>
        <w:t>From the performance requirement perspective, data channel has different requirement compared to the control channel. One of the main goal for data channel is to achieve high spectrum efficiency, hence achieving high SINR is very important. On the other side, the control channel requires higher reliability as it does not benefit from the HARQ retransmission, furthermore, control channel is the fundamental and pre-requisite cha</w:t>
      </w:r>
      <w:r w:rsidR="00DA4431">
        <w:rPr>
          <w:sz w:val="20"/>
          <w:szCs w:val="20"/>
        </w:rPr>
        <w:t>nnel for any data communication. It is nature to think that control channel can be deployed with wider beam in order to reduce the beam variation and provide better and more robust control delivery while data channel can be deployed with narrower beam in order to improve the SINR and potentially achi</w:t>
      </w:r>
      <w:r w:rsidR="009E54DD">
        <w:rPr>
          <w:sz w:val="20"/>
          <w:szCs w:val="20"/>
        </w:rPr>
        <w:t>e</w:t>
      </w:r>
      <w:r w:rsidR="00DA4431">
        <w:rPr>
          <w:sz w:val="20"/>
          <w:szCs w:val="20"/>
        </w:rPr>
        <w:t xml:space="preserve">ve </w:t>
      </w:r>
      <w:r w:rsidR="009E54DD">
        <w:rPr>
          <w:sz w:val="20"/>
          <w:szCs w:val="20"/>
        </w:rPr>
        <w:t>the higher spatial reuse.</w:t>
      </w:r>
    </w:p>
    <w:p w14:paraId="794EE7C2" w14:textId="77777777" w:rsidR="00003697" w:rsidRDefault="00003697" w:rsidP="00BC674A">
      <w:pPr>
        <w:jc w:val="both"/>
        <w:rPr>
          <w:sz w:val="20"/>
          <w:szCs w:val="20"/>
        </w:rPr>
      </w:pPr>
    </w:p>
    <w:p w14:paraId="4FAFCCAD" w14:textId="39B1D113" w:rsidR="00444C6E" w:rsidRDefault="00003697" w:rsidP="00BC674A">
      <w:pPr>
        <w:jc w:val="both"/>
        <w:rPr>
          <w:sz w:val="20"/>
          <w:szCs w:val="20"/>
        </w:rPr>
      </w:pPr>
      <w:r>
        <w:rPr>
          <w:sz w:val="20"/>
          <w:szCs w:val="20"/>
        </w:rPr>
        <w:t xml:space="preserve">However, the beam could change very fast especially due to the rotation of the UE. </w:t>
      </w:r>
      <w:r w:rsidR="00D17B64">
        <w:rPr>
          <w:sz w:val="20"/>
          <w:szCs w:val="20"/>
        </w:rPr>
        <w:t xml:space="preserve">Also, at high frequency band, the path-loss could be very high especially when signal has to penetrate through buildings. </w:t>
      </w:r>
      <w:r w:rsidR="00472448">
        <w:rPr>
          <w:sz w:val="20"/>
          <w:szCs w:val="20"/>
        </w:rPr>
        <w:t xml:space="preserve">The need for narrower beam for PDCCH transmission as well as fast PDCCH </w:t>
      </w:r>
      <w:r w:rsidR="00444C6E">
        <w:rPr>
          <w:sz w:val="20"/>
          <w:szCs w:val="20"/>
        </w:rPr>
        <w:t xml:space="preserve">beam change could arise in the field in order to ensure the coverage as well as </w:t>
      </w:r>
      <w:r w:rsidR="00606AF9">
        <w:rPr>
          <w:sz w:val="20"/>
          <w:szCs w:val="20"/>
        </w:rPr>
        <w:t xml:space="preserve">to </w:t>
      </w:r>
      <w:r w:rsidR="00444C6E">
        <w:rPr>
          <w:sz w:val="20"/>
          <w:szCs w:val="20"/>
        </w:rPr>
        <w:t>combat the fast beam variation. Therefore, it could be potentially useful for DCI to indicat</w:t>
      </w:r>
      <w:r w:rsidR="005537AD">
        <w:rPr>
          <w:sz w:val="20"/>
          <w:szCs w:val="20"/>
        </w:rPr>
        <w:t>e</w:t>
      </w:r>
      <w:r w:rsidR="00444C6E">
        <w:rPr>
          <w:sz w:val="20"/>
          <w:szCs w:val="20"/>
        </w:rPr>
        <w:t xml:space="preserve"> the QCL information of the PDCCH channel </w:t>
      </w:r>
      <w:r w:rsidR="006640B4">
        <w:rPr>
          <w:sz w:val="20"/>
          <w:szCs w:val="20"/>
        </w:rPr>
        <w:t>as</w:t>
      </w:r>
      <w:r w:rsidR="00444C6E">
        <w:rPr>
          <w:sz w:val="20"/>
          <w:szCs w:val="20"/>
        </w:rPr>
        <w:t xml:space="preserve"> illustrated in Figure 5</w:t>
      </w:r>
      <w:r w:rsidR="006B2B32">
        <w:rPr>
          <w:sz w:val="20"/>
          <w:szCs w:val="20"/>
        </w:rPr>
        <w:t>.</w:t>
      </w:r>
      <w:r w:rsidR="00C905C6">
        <w:rPr>
          <w:sz w:val="20"/>
          <w:szCs w:val="20"/>
        </w:rPr>
        <w:t xml:space="preserve"> As shown in the figure, the TCI information in PDCCH can be used to indicate the QCL information for the future PDCCH transmission, subject to similar concept of scheduling offset in order to give UE enough time </w:t>
      </w:r>
      <w:r w:rsidR="00B12472">
        <w:rPr>
          <w:sz w:val="20"/>
          <w:szCs w:val="20"/>
        </w:rPr>
        <w:t xml:space="preserve">to </w:t>
      </w:r>
      <w:r w:rsidR="00C905C6">
        <w:rPr>
          <w:sz w:val="20"/>
          <w:szCs w:val="20"/>
        </w:rPr>
        <w:t xml:space="preserve">process </w:t>
      </w:r>
      <w:r w:rsidR="00E17A9D">
        <w:rPr>
          <w:sz w:val="20"/>
          <w:szCs w:val="20"/>
        </w:rPr>
        <w:t>DCI and perform the beam switch.</w:t>
      </w:r>
    </w:p>
    <w:p w14:paraId="285666BE" w14:textId="77777777" w:rsidR="00156135" w:rsidRDefault="00156135" w:rsidP="00BC674A">
      <w:pPr>
        <w:jc w:val="both"/>
        <w:rPr>
          <w:sz w:val="20"/>
          <w:szCs w:val="20"/>
        </w:rPr>
      </w:pPr>
    </w:p>
    <w:p w14:paraId="40B6EB62" w14:textId="77777777" w:rsidR="001A41B2" w:rsidRDefault="00B17223" w:rsidP="00BC674A">
      <w:pPr>
        <w:jc w:val="both"/>
        <w:rPr>
          <w:sz w:val="20"/>
          <w:szCs w:val="20"/>
        </w:rPr>
      </w:pPr>
      <w:r>
        <w:rPr>
          <w:sz w:val="20"/>
          <w:szCs w:val="20"/>
        </w:rPr>
        <w:t xml:space="preserve">Both RRC+MAC-CE and DCI can be used jointly in order to improve the PDCCH reliability, when UE is not in relatively stable condition when beam variation is not very fast, NW can safely rely on RRC+MAC-CE to change the PDCCH channel beam. When UE has fast beam variation or requires high beam forming gain in order to close the control link, DCI in PDCCH can be used to change the PDCCH </w:t>
      </w:r>
      <w:r w:rsidR="0054028E">
        <w:rPr>
          <w:sz w:val="20"/>
          <w:szCs w:val="20"/>
        </w:rPr>
        <w:t>beam.</w:t>
      </w:r>
      <w:r w:rsidR="001A41B2">
        <w:rPr>
          <w:sz w:val="20"/>
          <w:szCs w:val="20"/>
        </w:rPr>
        <w:t xml:space="preserve"> </w:t>
      </w:r>
    </w:p>
    <w:p w14:paraId="3B4FC030" w14:textId="77777777" w:rsidR="001A41B2" w:rsidRDefault="001A41B2" w:rsidP="00BC674A">
      <w:pPr>
        <w:jc w:val="both"/>
        <w:rPr>
          <w:sz w:val="20"/>
          <w:szCs w:val="20"/>
        </w:rPr>
      </w:pPr>
    </w:p>
    <w:p w14:paraId="4B84BF65" w14:textId="7A41EA20" w:rsidR="00851E73" w:rsidRDefault="001A41B2" w:rsidP="00BC674A">
      <w:pPr>
        <w:jc w:val="both"/>
        <w:rPr>
          <w:sz w:val="20"/>
          <w:szCs w:val="20"/>
        </w:rPr>
      </w:pPr>
      <w:r>
        <w:rPr>
          <w:sz w:val="20"/>
          <w:szCs w:val="20"/>
        </w:rPr>
        <w:t>It is also important to handle the reliability of the DCI</w:t>
      </w:r>
      <w:r w:rsidR="00F64E06">
        <w:rPr>
          <w:sz w:val="20"/>
          <w:szCs w:val="20"/>
        </w:rPr>
        <w:t>. There could be at least</w:t>
      </w:r>
      <w:r w:rsidR="00450EEC">
        <w:rPr>
          <w:sz w:val="20"/>
          <w:szCs w:val="20"/>
        </w:rPr>
        <w:t xml:space="preserve"> two cases that could cause mis</w:t>
      </w:r>
      <w:r w:rsidR="00F64E06">
        <w:rPr>
          <w:sz w:val="20"/>
          <w:szCs w:val="20"/>
        </w:rPr>
        <w:t>alignment between the PDCCH beam information between gNB and UE</w:t>
      </w:r>
    </w:p>
    <w:p w14:paraId="6B61B34F" w14:textId="77777777" w:rsidR="00F64E06" w:rsidRDefault="00F64E06" w:rsidP="00BC674A">
      <w:pPr>
        <w:jc w:val="both"/>
        <w:rPr>
          <w:sz w:val="20"/>
          <w:szCs w:val="20"/>
        </w:rPr>
      </w:pPr>
    </w:p>
    <w:p w14:paraId="572C71ED" w14:textId="1368440E" w:rsidR="002244D3" w:rsidRDefault="009B0D60" w:rsidP="00F64E06">
      <w:pPr>
        <w:pStyle w:val="ListParagraph"/>
        <w:numPr>
          <w:ilvl w:val="0"/>
          <w:numId w:val="30"/>
        </w:numPr>
        <w:jc w:val="both"/>
        <w:rPr>
          <w:rFonts w:ascii="Times New Roman" w:hAnsi="Times New Roman"/>
          <w:sz w:val="20"/>
          <w:szCs w:val="20"/>
        </w:rPr>
      </w:pPr>
      <w:r>
        <w:rPr>
          <w:rFonts w:ascii="Times New Roman" w:hAnsi="Times New Roman"/>
          <w:sz w:val="20"/>
          <w:szCs w:val="20"/>
        </w:rPr>
        <w:t>PDCCH decoding false alarm:</w:t>
      </w:r>
      <w:r w:rsidR="00F64E06" w:rsidRPr="009B0D60">
        <w:rPr>
          <w:rFonts w:ascii="Times New Roman" w:hAnsi="Times New Roman"/>
          <w:sz w:val="20"/>
          <w:szCs w:val="20"/>
        </w:rPr>
        <w:t xml:space="preserve"> </w:t>
      </w:r>
      <w:r>
        <w:rPr>
          <w:rFonts w:ascii="Times New Roman" w:hAnsi="Times New Roman"/>
          <w:sz w:val="20"/>
          <w:szCs w:val="20"/>
        </w:rPr>
        <w:t>in this case, gNB does no</w:t>
      </w:r>
      <w:r w:rsidR="00C043AF">
        <w:rPr>
          <w:rFonts w:ascii="Times New Roman" w:hAnsi="Times New Roman"/>
          <w:sz w:val="20"/>
          <w:szCs w:val="20"/>
        </w:rPr>
        <w:t>t</w:t>
      </w:r>
      <w:r>
        <w:rPr>
          <w:rFonts w:ascii="Times New Roman" w:hAnsi="Times New Roman"/>
          <w:sz w:val="20"/>
          <w:szCs w:val="20"/>
        </w:rPr>
        <w:t xml:space="preserve"> transmit PDCCH, but UE erroneously decoded DCI and decoding CRC passes. </w:t>
      </w:r>
      <w:r w:rsidR="00591F45">
        <w:rPr>
          <w:rFonts w:ascii="Times New Roman" w:hAnsi="Times New Roman"/>
          <w:sz w:val="20"/>
          <w:szCs w:val="20"/>
        </w:rPr>
        <w:t>The CRC design for DCI could ensure that this error case happen</w:t>
      </w:r>
      <w:r w:rsidR="00CA2007">
        <w:rPr>
          <w:rFonts w:ascii="Times New Roman" w:hAnsi="Times New Roman"/>
          <w:sz w:val="20"/>
          <w:szCs w:val="20"/>
        </w:rPr>
        <w:t>s</w:t>
      </w:r>
      <w:r w:rsidR="00591F45">
        <w:rPr>
          <w:rFonts w:ascii="Times New Roman" w:hAnsi="Times New Roman"/>
          <w:sz w:val="20"/>
          <w:szCs w:val="20"/>
        </w:rPr>
        <w:t xml:space="preserve"> very rarely. </w:t>
      </w:r>
      <w:r w:rsidR="002244D3">
        <w:rPr>
          <w:rFonts w:ascii="Times New Roman" w:hAnsi="Times New Roman"/>
          <w:sz w:val="20"/>
          <w:szCs w:val="20"/>
        </w:rPr>
        <w:t>In addition, other mechanism can be employed to reduce the error event such as only allow</w:t>
      </w:r>
      <w:r w:rsidR="00C72EDD">
        <w:rPr>
          <w:rFonts w:asciiTheme="minorEastAsia" w:eastAsiaTheme="minorEastAsia" w:hAnsiTheme="minorEastAsia"/>
          <w:sz w:val="20"/>
          <w:szCs w:val="20"/>
          <w:lang w:eastAsia="zh-CN"/>
        </w:rPr>
        <w:t>ing</w:t>
      </w:r>
      <w:r w:rsidR="002244D3">
        <w:rPr>
          <w:rFonts w:ascii="Times New Roman" w:hAnsi="Times New Roman"/>
          <w:sz w:val="20"/>
          <w:szCs w:val="20"/>
        </w:rPr>
        <w:t xml:space="preserve"> certain CORESET or </w:t>
      </w:r>
      <w:r w:rsidR="00C72EDD">
        <w:rPr>
          <w:rFonts w:ascii="Times New Roman" w:hAnsi="Times New Roman"/>
          <w:sz w:val="20"/>
          <w:szCs w:val="20"/>
        </w:rPr>
        <w:t xml:space="preserve">CORESET configuration, i.e. </w:t>
      </w:r>
      <w:r w:rsidR="002244D3">
        <w:rPr>
          <w:rFonts w:ascii="Times New Roman" w:hAnsi="Times New Roman"/>
          <w:sz w:val="20"/>
          <w:szCs w:val="20"/>
        </w:rPr>
        <w:t>aggregation level</w:t>
      </w:r>
      <w:r w:rsidR="00C72EDD">
        <w:rPr>
          <w:rFonts w:ascii="Times New Roman" w:hAnsi="Times New Roman"/>
          <w:sz w:val="20"/>
          <w:szCs w:val="20"/>
        </w:rPr>
        <w:t>,</w:t>
      </w:r>
      <w:r w:rsidR="002244D3">
        <w:rPr>
          <w:rFonts w:ascii="Times New Roman" w:hAnsi="Times New Roman"/>
          <w:sz w:val="20"/>
          <w:szCs w:val="20"/>
        </w:rPr>
        <w:t xml:space="preserve"> to carry DCI</w:t>
      </w:r>
      <w:r w:rsidR="00C72EDD">
        <w:rPr>
          <w:rFonts w:ascii="Times New Roman" w:hAnsi="Times New Roman"/>
          <w:sz w:val="20"/>
          <w:szCs w:val="20"/>
        </w:rPr>
        <w:t xml:space="preserve"> that can change PDCCH beam</w:t>
      </w:r>
      <w:r w:rsidR="002244D3">
        <w:rPr>
          <w:rFonts w:ascii="Times New Roman" w:hAnsi="Times New Roman"/>
          <w:sz w:val="20"/>
          <w:szCs w:val="20"/>
        </w:rPr>
        <w:t>. Furthermore, PDCCH carry DCI has to be transmitted together with data transmission, therefore, gNB can check if UE decodes PDCCH by monitor UL ACK/NAK</w:t>
      </w:r>
    </w:p>
    <w:p w14:paraId="1770A0C7" w14:textId="3B4D1485" w:rsidR="00F64E06" w:rsidRPr="009B0D60" w:rsidRDefault="00F047EE" w:rsidP="00F64E06">
      <w:pPr>
        <w:pStyle w:val="ListParagraph"/>
        <w:numPr>
          <w:ilvl w:val="0"/>
          <w:numId w:val="30"/>
        </w:numPr>
        <w:jc w:val="both"/>
        <w:rPr>
          <w:rFonts w:ascii="Times New Roman" w:hAnsi="Times New Roman"/>
          <w:sz w:val="20"/>
          <w:szCs w:val="20"/>
        </w:rPr>
      </w:pPr>
      <w:r>
        <w:rPr>
          <w:rFonts w:ascii="Times New Roman" w:hAnsi="Times New Roman"/>
          <w:sz w:val="20"/>
          <w:szCs w:val="20"/>
        </w:rPr>
        <w:t>PUCCH decoding error: for example. UE decodes the P</w:t>
      </w:r>
      <w:r w:rsidR="005067C5">
        <w:rPr>
          <w:rFonts w:ascii="Times New Roman" w:hAnsi="Times New Roman"/>
          <w:sz w:val="20"/>
          <w:szCs w:val="20"/>
        </w:rPr>
        <w:t>DCCH but does not decode PDSCH,</w:t>
      </w:r>
      <w:r>
        <w:rPr>
          <w:rFonts w:ascii="Times New Roman" w:hAnsi="Times New Roman"/>
          <w:sz w:val="20"/>
          <w:szCs w:val="20"/>
        </w:rPr>
        <w:t xml:space="preserve"> UE transmits NAK on PUCCH but gNB may decode it as DTX.</w:t>
      </w:r>
      <w:r w:rsidR="00450EEC">
        <w:rPr>
          <w:rFonts w:ascii="Times New Roman" w:hAnsi="Times New Roman"/>
          <w:sz w:val="20"/>
          <w:szCs w:val="20"/>
        </w:rPr>
        <w:t xml:space="preserve"> </w:t>
      </w:r>
      <w:r w:rsidR="00815D09">
        <w:rPr>
          <w:rFonts w:ascii="Times New Roman" w:hAnsi="Times New Roman"/>
          <w:sz w:val="20"/>
          <w:szCs w:val="20"/>
        </w:rPr>
        <w:t>Similar error case could be UE transmit</w:t>
      </w:r>
      <w:r w:rsidR="008D4744">
        <w:rPr>
          <w:rFonts w:ascii="Times New Roman" w:hAnsi="Times New Roman"/>
          <w:sz w:val="20"/>
          <w:szCs w:val="20"/>
        </w:rPr>
        <w:t>s</w:t>
      </w:r>
      <w:r w:rsidR="00815D09">
        <w:rPr>
          <w:rFonts w:ascii="Times New Roman" w:hAnsi="Times New Roman"/>
          <w:sz w:val="20"/>
          <w:szCs w:val="20"/>
        </w:rPr>
        <w:t xml:space="preserve"> NAK but gNB decode it as DTX. In those events, i.e. gNB decodes NAK or DTX </w:t>
      </w:r>
      <w:r w:rsidR="00BB0A88">
        <w:rPr>
          <w:rFonts w:ascii="Times New Roman" w:hAnsi="Times New Roman"/>
          <w:sz w:val="20"/>
          <w:szCs w:val="20"/>
        </w:rPr>
        <w:t>on the PUCCH, gNB could optionally use both the new and old beam to transmit to the UE in order to ensure the maximum reliability of PDCCH.</w:t>
      </w:r>
      <w:r>
        <w:rPr>
          <w:rFonts w:ascii="Times New Roman" w:hAnsi="Times New Roman"/>
          <w:sz w:val="20"/>
          <w:szCs w:val="20"/>
        </w:rPr>
        <w:t xml:space="preserve"> </w:t>
      </w:r>
    </w:p>
    <w:p w14:paraId="3F8C97F9" w14:textId="77777777" w:rsidR="004F3665" w:rsidRDefault="004F3665" w:rsidP="00BC674A">
      <w:pPr>
        <w:jc w:val="both"/>
        <w:rPr>
          <w:sz w:val="20"/>
          <w:szCs w:val="20"/>
        </w:rPr>
      </w:pPr>
    </w:p>
    <w:p w14:paraId="7663D186" w14:textId="77777777" w:rsidR="00EB6122" w:rsidRDefault="006B2B32" w:rsidP="00EB6122">
      <w:pPr>
        <w:keepNext/>
        <w:jc w:val="both"/>
      </w:pPr>
      <w:r w:rsidRPr="006B2B32">
        <w:rPr>
          <w:b/>
          <w:i/>
          <w:noProof/>
          <w:sz w:val="20"/>
          <w:szCs w:val="20"/>
        </w:rPr>
        <w:lastRenderedPageBreak/>
        <w:drawing>
          <wp:inline distT="0" distB="0" distL="0" distR="0" wp14:anchorId="088A13F8" wp14:editId="02DF1A38">
            <wp:extent cx="6120765" cy="3211195"/>
            <wp:effectExtent l="0" t="0" r="63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211195"/>
                    </a:xfrm>
                    <a:prstGeom prst="rect">
                      <a:avLst/>
                    </a:prstGeom>
                  </pic:spPr>
                </pic:pic>
              </a:graphicData>
            </a:graphic>
          </wp:inline>
        </w:drawing>
      </w:r>
    </w:p>
    <w:p w14:paraId="0FAF0021" w14:textId="48E7B5FF" w:rsidR="004F3665" w:rsidRDefault="00EB6122" w:rsidP="000372D1">
      <w:pPr>
        <w:pStyle w:val="Caption"/>
        <w:rPr>
          <w:b w:val="0"/>
          <w:i/>
          <w:sz w:val="20"/>
          <w:szCs w:val="20"/>
        </w:rPr>
      </w:pPr>
      <w:r>
        <w:t xml:space="preserve">Figure </w:t>
      </w:r>
      <w:fldSimple w:instr=" SEQ Figure \* ARABIC ">
        <w:r w:rsidR="00AA5AC0">
          <w:rPr>
            <w:noProof/>
          </w:rPr>
          <w:t>5</w:t>
        </w:r>
      </w:fldSimple>
      <w:r>
        <w:t xml:space="preserve"> DCH in PDCCH carry QC</w:t>
      </w:r>
      <w:r w:rsidR="00875EC6">
        <w:t xml:space="preserve">I information for future PDCCH </w:t>
      </w:r>
      <w:r>
        <w:t>or GC-PDCCH</w:t>
      </w:r>
    </w:p>
    <w:p w14:paraId="75989102" w14:textId="77777777" w:rsidR="00AA06F6" w:rsidRDefault="00AA06F6" w:rsidP="00AA06F6">
      <w:pPr>
        <w:jc w:val="both"/>
        <w:rPr>
          <w:b/>
          <w:i/>
          <w:sz w:val="20"/>
          <w:szCs w:val="20"/>
        </w:rPr>
      </w:pPr>
      <w:r w:rsidRPr="00430170">
        <w:rPr>
          <w:rFonts w:eastAsia="SimSun"/>
          <w:b/>
          <w:bCs/>
          <w:i/>
          <w:sz w:val="20"/>
          <w:szCs w:val="20"/>
          <w:u w:val="single"/>
        </w:rPr>
        <w:t xml:space="preserve">Proposal </w:t>
      </w:r>
      <w:r>
        <w:rPr>
          <w:rFonts w:eastAsia="SimSun"/>
          <w:b/>
          <w:bCs/>
          <w:i/>
          <w:sz w:val="20"/>
          <w:szCs w:val="20"/>
          <w:u w:val="single"/>
        </w:rPr>
        <w:t>5</w:t>
      </w:r>
      <w:r w:rsidRPr="00430170">
        <w:rPr>
          <w:rFonts w:eastAsia="SimSun"/>
          <w:bCs/>
          <w:i/>
          <w:sz w:val="20"/>
          <w:szCs w:val="20"/>
        </w:rPr>
        <w:t xml:space="preserve">: </w:t>
      </w:r>
      <w:r>
        <w:rPr>
          <w:b/>
          <w:i/>
          <w:sz w:val="20"/>
          <w:szCs w:val="20"/>
        </w:rPr>
        <w:t>NR to consider supporting of DCI in PDCCH to indicate the QCL information of the future PDCCH or GC-PDCCH.</w:t>
      </w:r>
    </w:p>
    <w:p w14:paraId="40CEB969" w14:textId="0B15C41E" w:rsidR="004F3665" w:rsidRDefault="004F3665" w:rsidP="00BC674A">
      <w:pPr>
        <w:jc w:val="both"/>
        <w:rPr>
          <w:b/>
          <w:i/>
          <w:sz w:val="20"/>
          <w:szCs w:val="20"/>
        </w:rPr>
      </w:pPr>
    </w:p>
    <w:p w14:paraId="3CD5FC1B" w14:textId="0747B3C3" w:rsidR="00B505B9" w:rsidRDefault="00CB6802" w:rsidP="00CB6802">
      <w:pPr>
        <w:jc w:val="both"/>
        <w:rPr>
          <w:sz w:val="20"/>
          <w:szCs w:val="20"/>
        </w:rPr>
      </w:pPr>
      <w:r>
        <w:rPr>
          <w:sz w:val="20"/>
          <w:szCs w:val="20"/>
        </w:rPr>
        <w:t>As discussed before, PDCCH and PDSCH may have different requirement for the beam width. PDCCH can be deployed with much wider beam compared to PDSCH. Therefore, it is also nature to consider a hierarchical structure for beam indication. Note that, each TCI state ma</w:t>
      </w:r>
      <w:r w:rsidR="0017245A">
        <w:rPr>
          <w:sz w:val="20"/>
          <w:szCs w:val="20"/>
        </w:rPr>
        <w:t xml:space="preserve">y refer to a </w:t>
      </w:r>
      <w:r w:rsidR="00EB6122">
        <w:rPr>
          <w:sz w:val="20"/>
          <w:szCs w:val="20"/>
        </w:rPr>
        <w:t>RS index (SSBRI or CRI), while more and narrower beams are required for PDSCH, less and narrow</w:t>
      </w:r>
      <w:r w:rsidR="00AF43E1">
        <w:rPr>
          <w:sz w:val="20"/>
          <w:szCs w:val="20"/>
        </w:rPr>
        <w:t>er</w:t>
      </w:r>
      <w:r w:rsidR="00EB6122">
        <w:rPr>
          <w:sz w:val="20"/>
          <w:szCs w:val="20"/>
        </w:rPr>
        <w:t xml:space="preserve"> beam can be deployed for PDCCH. Figure </w:t>
      </w:r>
      <w:r w:rsidR="00AA5AC0">
        <w:rPr>
          <w:sz w:val="20"/>
          <w:szCs w:val="20"/>
        </w:rPr>
        <w:t>6 illustrates the concept of hierarchical beam indication, we assume that GC-PDCCH uses the widest beam, while PDCCH uses narrower beam compared to GC-PDCCH but wider beam compared to PDSCH.</w:t>
      </w:r>
      <w:r>
        <w:rPr>
          <w:sz w:val="20"/>
          <w:szCs w:val="20"/>
        </w:rPr>
        <w:t xml:space="preserve"> </w:t>
      </w:r>
      <w:r w:rsidR="007D6EF3">
        <w:rPr>
          <w:sz w:val="20"/>
          <w:szCs w:val="20"/>
        </w:rPr>
        <w:t xml:space="preserve">The resource index, therefore, can the divided into several parts, while the subset of resource indication can be </w:t>
      </w:r>
      <w:r w:rsidR="00B5738F">
        <w:rPr>
          <w:sz w:val="20"/>
          <w:szCs w:val="20"/>
        </w:rPr>
        <w:t>used</w:t>
      </w:r>
      <w:r w:rsidR="007D6EF3">
        <w:rPr>
          <w:sz w:val="20"/>
          <w:szCs w:val="20"/>
        </w:rPr>
        <w:t xml:space="preserve"> to indicate the wider control beam.</w:t>
      </w:r>
    </w:p>
    <w:p w14:paraId="33E5CF88" w14:textId="77777777" w:rsidR="00B505B9" w:rsidRDefault="00B505B9" w:rsidP="00CB6802">
      <w:pPr>
        <w:jc w:val="both"/>
        <w:rPr>
          <w:sz w:val="20"/>
          <w:szCs w:val="20"/>
        </w:rPr>
      </w:pPr>
    </w:p>
    <w:p w14:paraId="67E782DE" w14:textId="77777777" w:rsidR="00AA5AC0" w:rsidRDefault="00AA5AC0" w:rsidP="00AA5AC0">
      <w:pPr>
        <w:keepNext/>
        <w:jc w:val="both"/>
      </w:pPr>
      <w:r w:rsidRPr="00AA5AC0">
        <w:rPr>
          <w:noProof/>
          <w:sz w:val="20"/>
          <w:szCs w:val="20"/>
        </w:rPr>
        <w:drawing>
          <wp:inline distT="0" distB="0" distL="0" distR="0" wp14:anchorId="6432465F" wp14:editId="1185F86E">
            <wp:extent cx="6120765" cy="3032760"/>
            <wp:effectExtent l="0" t="0" r="635"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032760"/>
                    </a:xfrm>
                    <a:prstGeom prst="rect">
                      <a:avLst/>
                    </a:prstGeom>
                  </pic:spPr>
                </pic:pic>
              </a:graphicData>
            </a:graphic>
          </wp:inline>
        </w:drawing>
      </w:r>
    </w:p>
    <w:p w14:paraId="6C857CED" w14:textId="10E29B79" w:rsidR="00CB6802" w:rsidRPr="00CB6802" w:rsidRDefault="00AA5AC0" w:rsidP="00AA5AC0">
      <w:pPr>
        <w:pStyle w:val="Caption"/>
        <w:rPr>
          <w:b w:val="0"/>
          <w:sz w:val="20"/>
          <w:szCs w:val="20"/>
        </w:rPr>
      </w:pPr>
      <w:r>
        <w:t xml:space="preserve">Figure </w:t>
      </w:r>
      <w:fldSimple w:instr=" SEQ Figure \* ARABIC ">
        <w:r>
          <w:rPr>
            <w:noProof/>
          </w:rPr>
          <w:t>6</w:t>
        </w:r>
      </w:fldSimple>
      <w:r>
        <w:t xml:space="preserve"> Hierarchical structure for the beam indication</w:t>
      </w:r>
    </w:p>
    <w:p w14:paraId="2896E657" w14:textId="77777777" w:rsidR="00854A60" w:rsidRDefault="009C5A97" w:rsidP="00FB330B">
      <w:pPr>
        <w:pStyle w:val="Heading1"/>
      </w:pPr>
      <w:r w:rsidRPr="00FB330B">
        <w:lastRenderedPageBreak/>
        <w:t>Conclusion</w:t>
      </w:r>
      <w:r w:rsidR="004424BC" w:rsidRPr="00FB330B">
        <w:t>s</w:t>
      </w:r>
    </w:p>
    <w:p w14:paraId="0E48BF1F" w14:textId="0A48375E" w:rsidR="00B929A6" w:rsidRDefault="00B929A6" w:rsidP="00B929A6">
      <w:pPr>
        <w:jc w:val="both"/>
        <w:rPr>
          <w:sz w:val="20"/>
          <w:szCs w:val="20"/>
        </w:rPr>
      </w:pPr>
      <w:r>
        <w:rPr>
          <w:sz w:val="20"/>
          <w:szCs w:val="20"/>
        </w:rPr>
        <w:t xml:space="preserve">Beam measurement and reporting is one the most important steps of beam measurement procedure. </w:t>
      </w:r>
      <w:r w:rsidR="0039299F">
        <w:rPr>
          <w:sz w:val="20"/>
          <w:szCs w:val="20"/>
        </w:rPr>
        <w:t>In order to ensure the robust and efficient beam management, b</w:t>
      </w:r>
      <w:r>
        <w:rPr>
          <w:sz w:val="20"/>
          <w:szCs w:val="20"/>
        </w:rPr>
        <w:t>eam measurement and reporting has the following requirement</w:t>
      </w:r>
    </w:p>
    <w:p w14:paraId="17D8CF99" w14:textId="77777777" w:rsidR="00B929A6" w:rsidRDefault="00B929A6" w:rsidP="00B929A6">
      <w:pPr>
        <w:jc w:val="both"/>
        <w:rPr>
          <w:sz w:val="20"/>
          <w:szCs w:val="20"/>
        </w:rPr>
      </w:pPr>
    </w:p>
    <w:p w14:paraId="73A0D10F" w14:textId="77777777" w:rsidR="00B929A6" w:rsidRPr="000E2D0E"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7B811A4A" w14:textId="77777777" w:rsidR="00B929A6"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to the mobility situation </w:t>
      </w:r>
    </w:p>
    <w:p w14:paraId="22DA942D" w14:textId="77777777" w:rsidR="00B929A6" w:rsidRDefault="00B929A6" w:rsidP="00B929A6">
      <w:pPr>
        <w:jc w:val="both"/>
        <w:rPr>
          <w:sz w:val="20"/>
          <w:szCs w:val="20"/>
        </w:rPr>
      </w:pPr>
    </w:p>
    <w:p w14:paraId="36734F9A" w14:textId="05C3EEB4" w:rsidR="00B929A6" w:rsidRPr="0012647B" w:rsidRDefault="00B929A6" w:rsidP="00B929A6">
      <w:pPr>
        <w:jc w:val="both"/>
        <w:rPr>
          <w:sz w:val="20"/>
          <w:szCs w:val="20"/>
        </w:rPr>
      </w:pPr>
      <w:r>
        <w:rPr>
          <w:sz w:val="20"/>
          <w:szCs w:val="20"/>
        </w:rPr>
        <w:t xml:space="preserve">With the above requirements in mind, </w:t>
      </w:r>
      <w:r w:rsidR="002A7D78">
        <w:rPr>
          <w:sz w:val="20"/>
          <w:szCs w:val="20"/>
        </w:rPr>
        <w:t>this</w:t>
      </w:r>
      <w:r w:rsidR="005F3A27">
        <w:rPr>
          <w:sz w:val="20"/>
          <w:szCs w:val="20"/>
        </w:rPr>
        <w:t xml:space="preserve"> contribution</w:t>
      </w:r>
      <w:r>
        <w:rPr>
          <w:sz w:val="20"/>
          <w:szCs w:val="20"/>
        </w:rPr>
        <w:t xml:space="preserve"> discuss</w:t>
      </w:r>
      <w:r w:rsidR="005F3A27">
        <w:rPr>
          <w:sz w:val="20"/>
          <w:szCs w:val="20"/>
        </w:rPr>
        <w:t>es</w:t>
      </w:r>
      <w:r>
        <w:rPr>
          <w:sz w:val="20"/>
          <w:szCs w:val="20"/>
        </w:rPr>
        <w:t xml:space="preserve"> some of the techniques that could be used to improve the beam measurement/reporting response time and/or reduce the overhead of reference signals/UE reporting.</w:t>
      </w:r>
      <w:r w:rsidR="001711C4">
        <w:rPr>
          <w:sz w:val="20"/>
          <w:szCs w:val="20"/>
        </w:rPr>
        <w:t xml:space="preserve"> We have the following proposals</w:t>
      </w:r>
    </w:p>
    <w:p w14:paraId="64EDB514" w14:textId="77777777" w:rsidR="00B929A6" w:rsidRPr="00B929A6" w:rsidRDefault="00B929A6" w:rsidP="00B929A6"/>
    <w:p w14:paraId="0A84F423" w14:textId="77777777" w:rsidR="00B929A6" w:rsidRPr="00E86F15" w:rsidRDefault="00B929A6" w:rsidP="00B929A6">
      <w:pPr>
        <w:jc w:val="both"/>
        <w:rPr>
          <w:b/>
          <w:i/>
          <w:sz w:val="20"/>
          <w:szCs w:val="20"/>
        </w:rPr>
      </w:pPr>
      <w:r w:rsidRPr="00E86F15">
        <w:rPr>
          <w:rFonts w:eastAsia="SimSun"/>
          <w:b/>
          <w:bCs/>
          <w:i/>
          <w:sz w:val="20"/>
          <w:szCs w:val="20"/>
          <w:u w:val="single"/>
        </w:rPr>
        <w:t>Proposal 1</w:t>
      </w:r>
      <w:r w:rsidRPr="00E86F15">
        <w:rPr>
          <w:rFonts w:eastAsia="SimSun"/>
          <w:bCs/>
          <w:i/>
          <w:sz w:val="20"/>
          <w:szCs w:val="20"/>
        </w:rPr>
        <w:t xml:space="preserve">: </w:t>
      </w:r>
      <w:r w:rsidRPr="00E86F15">
        <w:rPr>
          <w:b/>
          <w:i/>
          <w:sz w:val="20"/>
          <w:szCs w:val="20"/>
        </w:rPr>
        <w:t>NR to support UE event based aperiodic beam measurement reporting.</w:t>
      </w:r>
    </w:p>
    <w:p w14:paraId="29969B4A" w14:textId="77777777" w:rsidR="00B929A6" w:rsidRPr="00D20522" w:rsidRDefault="00B929A6" w:rsidP="00B929A6">
      <w:pPr>
        <w:ind w:firstLine="567"/>
        <w:jc w:val="both"/>
        <w:rPr>
          <w:b/>
          <w:i/>
          <w:sz w:val="20"/>
          <w:szCs w:val="20"/>
        </w:rPr>
      </w:pPr>
      <w:r>
        <w:rPr>
          <w:b/>
          <w:i/>
          <w:sz w:val="20"/>
          <w:szCs w:val="20"/>
        </w:rPr>
        <w:t>FFS: the detailed events and configurations</w:t>
      </w:r>
    </w:p>
    <w:p w14:paraId="11D01EAE" w14:textId="77777777" w:rsidR="00B929A6" w:rsidRDefault="00B929A6" w:rsidP="00B929A6">
      <w:pPr>
        <w:rPr>
          <w:rFonts w:eastAsia="SimSun"/>
          <w:b/>
          <w:bCs/>
          <w:i/>
          <w:sz w:val="20"/>
          <w:szCs w:val="20"/>
          <w:u w:val="single"/>
        </w:rPr>
      </w:pPr>
    </w:p>
    <w:p w14:paraId="318E901A" w14:textId="77777777" w:rsidR="001C1301" w:rsidRDefault="001C1301" w:rsidP="001C1301">
      <w:pPr>
        <w:jc w:val="both"/>
        <w:rPr>
          <w:b/>
          <w:i/>
          <w:sz w:val="20"/>
          <w:szCs w:val="20"/>
        </w:rPr>
      </w:pPr>
      <w:r w:rsidRPr="00430170">
        <w:rPr>
          <w:rFonts w:eastAsia="SimSun"/>
          <w:b/>
          <w:bCs/>
          <w:i/>
          <w:sz w:val="20"/>
          <w:szCs w:val="20"/>
          <w:u w:val="single"/>
        </w:rPr>
        <w:t xml:space="preserve">Proposal </w:t>
      </w:r>
      <w:r>
        <w:rPr>
          <w:rFonts w:eastAsia="SimSun"/>
          <w:b/>
          <w:bCs/>
          <w:i/>
          <w:sz w:val="20"/>
          <w:szCs w:val="20"/>
          <w:u w:val="single"/>
        </w:rPr>
        <w:t>2</w:t>
      </w:r>
      <w:r w:rsidRPr="00430170">
        <w:rPr>
          <w:rFonts w:eastAsia="SimSun"/>
          <w:bCs/>
          <w:i/>
          <w:sz w:val="20"/>
          <w:szCs w:val="20"/>
        </w:rPr>
        <w:t xml:space="preserve">: </w:t>
      </w:r>
      <w:r>
        <w:rPr>
          <w:b/>
          <w:i/>
          <w:sz w:val="20"/>
          <w:szCs w:val="20"/>
        </w:rPr>
        <w:t>NR to support UE report to assist gNB configuring beam manage procedure (P1/P2/P3/U1/U2/U3)</w:t>
      </w:r>
    </w:p>
    <w:p w14:paraId="453AFFD9" w14:textId="77777777" w:rsidR="001C1301" w:rsidRDefault="001C1301" w:rsidP="001C1301">
      <w:pPr>
        <w:ind w:left="567" w:firstLine="400"/>
        <w:jc w:val="both"/>
        <w:rPr>
          <w:b/>
          <w:i/>
          <w:sz w:val="20"/>
          <w:szCs w:val="20"/>
        </w:rPr>
      </w:pPr>
      <w:r>
        <w:rPr>
          <w:b/>
          <w:i/>
          <w:sz w:val="20"/>
          <w:szCs w:val="20"/>
        </w:rPr>
        <w:t>FFS: (1) Detailed channels/mechanism to send such report from UE and (2) detailed events and triggering conditions</w:t>
      </w:r>
    </w:p>
    <w:p w14:paraId="640BD8CB" w14:textId="77777777" w:rsidR="00B929A6" w:rsidRDefault="00B929A6" w:rsidP="00B929A6">
      <w:pPr>
        <w:rPr>
          <w:rFonts w:eastAsia="SimSun"/>
          <w:b/>
          <w:bCs/>
          <w:i/>
          <w:sz w:val="20"/>
          <w:szCs w:val="20"/>
          <w:u w:val="single"/>
        </w:rPr>
      </w:pPr>
    </w:p>
    <w:p w14:paraId="3C2FC74E" w14:textId="77777777" w:rsidR="00B929A6" w:rsidRDefault="00B929A6" w:rsidP="00B929A6">
      <w:pPr>
        <w:rPr>
          <w:b/>
          <w:i/>
          <w:sz w:val="20"/>
          <w:szCs w:val="20"/>
        </w:rPr>
      </w:pPr>
      <w:r w:rsidRPr="00430170">
        <w:rPr>
          <w:rFonts w:eastAsia="SimSun"/>
          <w:b/>
          <w:bCs/>
          <w:i/>
          <w:sz w:val="20"/>
          <w:szCs w:val="20"/>
          <w:u w:val="single"/>
        </w:rPr>
        <w:t xml:space="preserve">Proposal </w:t>
      </w:r>
      <w:r>
        <w:rPr>
          <w:rFonts w:eastAsia="SimSun"/>
          <w:b/>
          <w:bCs/>
          <w:i/>
          <w:sz w:val="20"/>
          <w:szCs w:val="20"/>
          <w:u w:val="single"/>
        </w:rPr>
        <w:t>3</w:t>
      </w:r>
      <w:r w:rsidRPr="00430170">
        <w:rPr>
          <w:rFonts w:eastAsia="SimSun"/>
          <w:bCs/>
          <w:i/>
          <w:sz w:val="20"/>
          <w:szCs w:val="20"/>
        </w:rPr>
        <w:t xml:space="preserve">: </w:t>
      </w:r>
      <w:r>
        <w:rPr>
          <w:b/>
          <w:i/>
          <w:sz w:val="20"/>
          <w:szCs w:val="20"/>
        </w:rPr>
        <w:t>NR to support UE request for the number of resources for P3/U3 (P1/U1) beam management procedure</w:t>
      </w:r>
    </w:p>
    <w:p w14:paraId="51F4ECDD" w14:textId="77777777" w:rsidR="00B929A6" w:rsidRPr="00B929A6" w:rsidRDefault="00B929A6" w:rsidP="00B929A6"/>
    <w:p w14:paraId="65899C7B" w14:textId="77777777" w:rsidR="00B929A6" w:rsidRDefault="00B929A6" w:rsidP="00B929A6">
      <w:pPr>
        <w:jc w:val="both"/>
        <w:rPr>
          <w:b/>
          <w:i/>
          <w:sz w:val="20"/>
          <w:szCs w:val="20"/>
        </w:rPr>
      </w:pPr>
      <w:r w:rsidRPr="00430170">
        <w:rPr>
          <w:rFonts w:eastAsia="SimSun"/>
          <w:b/>
          <w:bCs/>
          <w:i/>
          <w:sz w:val="20"/>
          <w:szCs w:val="20"/>
          <w:u w:val="single"/>
        </w:rPr>
        <w:t xml:space="preserve">Proposal </w:t>
      </w:r>
      <w:r>
        <w:rPr>
          <w:rFonts w:eastAsia="SimSun"/>
          <w:b/>
          <w:bCs/>
          <w:i/>
          <w:sz w:val="20"/>
          <w:szCs w:val="20"/>
          <w:u w:val="single"/>
        </w:rPr>
        <w:t>4</w:t>
      </w:r>
      <w:r w:rsidRPr="00430170">
        <w:rPr>
          <w:rFonts w:eastAsia="SimSun"/>
          <w:bCs/>
          <w:i/>
          <w:sz w:val="20"/>
          <w:szCs w:val="20"/>
        </w:rPr>
        <w:t xml:space="preserve">: </w:t>
      </w:r>
      <w:r>
        <w:rPr>
          <w:b/>
          <w:i/>
          <w:sz w:val="20"/>
          <w:szCs w:val="20"/>
        </w:rPr>
        <w:t>NR to consider supporting of UE to request the preferred configuration of periodic and Aperiodic beam measurement/reporting</w:t>
      </w:r>
    </w:p>
    <w:p w14:paraId="6D068700" w14:textId="77777777" w:rsidR="00CD4074" w:rsidRDefault="00CD4074" w:rsidP="0005407B">
      <w:pPr>
        <w:jc w:val="both"/>
        <w:rPr>
          <w:b/>
          <w:sz w:val="20"/>
          <w:szCs w:val="20"/>
        </w:rPr>
      </w:pPr>
    </w:p>
    <w:p w14:paraId="1FC57B99" w14:textId="44C94112" w:rsidR="0037653C" w:rsidRDefault="0037653C" w:rsidP="0037653C">
      <w:pPr>
        <w:jc w:val="both"/>
        <w:rPr>
          <w:b/>
          <w:i/>
          <w:sz w:val="20"/>
          <w:szCs w:val="20"/>
        </w:rPr>
      </w:pPr>
      <w:r w:rsidRPr="00430170">
        <w:rPr>
          <w:rFonts w:eastAsia="SimSun"/>
          <w:b/>
          <w:bCs/>
          <w:i/>
          <w:sz w:val="20"/>
          <w:szCs w:val="20"/>
          <w:u w:val="single"/>
        </w:rPr>
        <w:t xml:space="preserve">Proposal </w:t>
      </w:r>
      <w:r>
        <w:rPr>
          <w:rFonts w:eastAsia="SimSun"/>
          <w:b/>
          <w:bCs/>
          <w:i/>
          <w:sz w:val="20"/>
          <w:szCs w:val="20"/>
          <w:u w:val="single"/>
        </w:rPr>
        <w:t>5</w:t>
      </w:r>
      <w:r w:rsidRPr="00430170">
        <w:rPr>
          <w:rFonts w:eastAsia="SimSun"/>
          <w:bCs/>
          <w:i/>
          <w:sz w:val="20"/>
          <w:szCs w:val="20"/>
        </w:rPr>
        <w:t xml:space="preserve">: </w:t>
      </w:r>
      <w:r>
        <w:rPr>
          <w:b/>
          <w:i/>
          <w:sz w:val="20"/>
          <w:szCs w:val="20"/>
        </w:rPr>
        <w:t>NR to consider supporting of DCI in PDCCH to indicat</w:t>
      </w:r>
      <w:r w:rsidR="009423A5">
        <w:rPr>
          <w:b/>
          <w:i/>
          <w:sz w:val="20"/>
          <w:szCs w:val="20"/>
        </w:rPr>
        <w:t>e</w:t>
      </w:r>
      <w:r>
        <w:rPr>
          <w:b/>
          <w:i/>
          <w:sz w:val="20"/>
          <w:szCs w:val="20"/>
        </w:rPr>
        <w:t xml:space="preserve"> the QCL information of the future PDCCH or GC-PDCCH.</w:t>
      </w:r>
    </w:p>
    <w:p w14:paraId="000684B0" w14:textId="77777777" w:rsidR="0037653C" w:rsidRDefault="0037653C" w:rsidP="0005407B">
      <w:pPr>
        <w:jc w:val="both"/>
        <w:rPr>
          <w:b/>
          <w:sz w:val="20"/>
          <w:szCs w:val="20"/>
        </w:rPr>
      </w:pPr>
    </w:p>
    <w:p w14:paraId="7716D850" w14:textId="47F291FA" w:rsidR="003E0F30" w:rsidRDefault="005C63AE" w:rsidP="00920B5C">
      <w:pPr>
        <w:pStyle w:val="Heading1"/>
      </w:pPr>
      <w:r>
        <w:t>References</w:t>
      </w:r>
    </w:p>
    <w:p w14:paraId="217E5F97" w14:textId="4534E247" w:rsidR="00280537" w:rsidRDefault="00B00240"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15118E">
        <w:rPr>
          <w:sz w:val="20"/>
          <w:szCs w:val="20"/>
        </w:rPr>
        <w:t xml:space="preserve">3GPP RAN1 #86 Meeting </w:t>
      </w:r>
      <w:r w:rsidR="00FF42E9" w:rsidRPr="0015118E">
        <w:rPr>
          <w:sz w:val="20"/>
          <w:szCs w:val="20"/>
        </w:rPr>
        <w:t xml:space="preserve">Chairman Notes, </w:t>
      </w:r>
      <w:r w:rsidR="009948B6" w:rsidRPr="00A53489">
        <w:rPr>
          <w:sz w:val="20"/>
        </w:rPr>
        <w:t>Gothenburg</w:t>
      </w:r>
      <w:r w:rsidR="009948B6" w:rsidRPr="000B1042">
        <w:rPr>
          <w:sz w:val="20"/>
        </w:rPr>
        <w:t>,</w:t>
      </w:r>
      <w:r w:rsidR="009948B6">
        <w:rPr>
          <w:sz w:val="20"/>
        </w:rPr>
        <w:t xml:space="preserve"> Sweden</w:t>
      </w:r>
      <w:r w:rsidR="009948B6" w:rsidRPr="000B1042">
        <w:rPr>
          <w:sz w:val="20"/>
        </w:rPr>
        <w:t xml:space="preserve">, </w:t>
      </w:r>
      <w:r w:rsidR="009948B6">
        <w:rPr>
          <w:sz w:val="20"/>
        </w:rPr>
        <w:t>22</w:t>
      </w:r>
      <w:r w:rsidR="009948B6" w:rsidRPr="00724E4C">
        <w:rPr>
          <w:sz w:val="20"/>
          <w:vertAlign w:val="superscript"/>
        </w:rPr>
        <w:t>nd</w:t>
      </w:r>
      <w:r w:rsidR="009948B6">
        <w:rPr>
          <w:sz w:val="20"/>
        </w:rPr>
        <w:t xml:space="preserve"> </w:t>
      </w:r>
      <w:r w:rsidR="009948B6" w:rsidRPr="000B1042">
        <w:rPr>
          <w:sz w:val="20"/>
        </w:rPr>
        <w:t xml:space="preserve">– </w:t>
      </w:r>
      <w:r w:rsidR="009948B6">
        <w:rPr>
          <w:sz w:val="20"/>
        </w:rPr>
        <w:t>26</w:t>
      </w:r>
      <w:r w:rsidR="009948B6" w:rsidRPr="000B1042">
        <w:rPr>
          <w:sz w:val="20"/>
          <w:vertAlign w:val="superscript"/>
        </w:rPr>
        <w:t>th</w:t>
      </w:r>
      <w:r w:rsidR="009948B6" w:rsidRPr="000B1042">
        <w:rPr>
          <w:sz w:val="20"/>
        </w:rPr>
        <w:t xml:space="preserve"> </w:t>
      </w:r>
      <w:r w:rsidR="009948B6">
        <w:rPr>
          <w:sz w:val="20"/>
        </w:rPr>
        <w:t>August</w:t>
      </w:r>
      <w:r w:rsidR="009948B6" w:rsidRPr="000B1042">
        <w:rPr>
          <w:sz w:val="20"/>
        </w:rPr>
        <w:t xml:space="preserve"> 2016</w:t>
      </w:r>
    </w:p>
    <w:p w14:paraId="0C78D98A" w14:textId="77777777" w:rsidR="00EC1E07" w:rsidRPr="00EC1E07" w:rsidRDefault="0015118E" w:rsidP="005F3A27">
      <w:pPr>
        <w:numPr>
          <w:ilvl w:val="0"/>
          <w:numId w:val="14"/>
        </w:numPr>
        <w:overflowPunct w:val="0"/>
        <w:autoSpaceDE w:val="0"/>
        <w:autoSpaceDN w:val="0"/>
        <w:adjustRightInd w:val="0"/>
        <w:spacing w:before="100" w:beforeAutospacing="1" w:after="100" w:afterAutospacing="1"/>
        <w:ind w:left="562" w:hanging="562"/>
        <w:textAlignment w:val="baseline"/>
        <w:rPr>
          <w:sz w:val="18"/>
          <w:szCs w:val="20"/>
        </w:rPr>
      </w:pPr>
      <w:r w:rsidRPr="00EC1E07">
        <w:rPr>
          <w:sz w:val="20"/>
          <w:szCs w:val="20"/>
        </w:rPr>
        <w:t>3GPP RAN1 #86</w:t>
      </w:r>
      <w:r w:rsidR="009948B6" w:rsidRPr="00EC1E07">
        <w:rPr>
          <w:sz w:val="20"/>
          <w:szCs w:val="20"/>
        </w:rPr>
        <w:t>b</w:t>
      </w:r>
      <w:r w:rsidRPr="00EC1E07">
        <w:rPr>
          <w:sz w:val="20"/>
          <w:szCs w:val="20"/>
        </w:rPr>
        <w:t xml:space="preserve"> Meeting Chairman Notes, Lisbon, Portugal, 10</w:t>
      </w:r>
      <w:r w:rsidRPr="00EC1E07">
        <w:rPr>
          <w:sz w:val="20"/>
          <w:szCs w:val="20"/>
          <w:vertAlign w:val="superscript"/>
        </w:rPr>
        <w:t>th</w:t>
      </w:r>
      <w:r w:rsidRPr="00EC1E07">
        <w:rPr>
          <w:sz w:val="20"/>
          <w:szCs w:val="20"/>
        </w:rPr>
        <w:t xml:space="preserve"> – 14</w:t>
      </w:r>
      <w:r w:rsidRPr="00EC1E07">
        <w:rPr>
          <w:sz w:val="20"/>
          <w:szCs w:val="20"/>
          <w:vertAlign w:val="superscript"/>
        </w:rPr>
        <w:t>th</w:t>
      </w:r>
      <w:r w:rsidRPr="00EC1E07">
        <w:rPr>
          <w:sz w:val="20"/>
          <w:szCs w:val="20"/>
        </w:rPr>
        <w:t xml:space="preserve"> October 2016</w:t>
      </w:r>
    </w:p>
    <w:p w14:paraId="10B19FC5" w14:textId="42B84327" w:rsidR="00BB67D8" w:rsidRDefault="00EC1E07" w:rsidP="00BB67D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EC1E07">
        <w:rPr>
          <w:sz w:val="20"/>
          <w:szCs w:val="20"/>
        </w:rPr>
        <w:t xml:space="preserve">3GPP RAN1 </w:t>
      </w:r>
      <w:r w:rsidR="00F92C60" w:rsidRPr="00EC1E07">
        <w:rPr>
          <w:sz w:val="20"/>
          <w:szCs w:val="20"/>
        </w:rPr>
        <w:t>NR</w:t>
      </w:r>
      <w:r w:rsidR="00477FFB">
        <w:rPr>
          <w:sz w:val="20"/>
          <w:szCs w:val="20"/>
        </w:rPr>
        <w:t>#</w:t>
      </w:r>
      <w:r w:rsidR="00F92C60" w:rsidRPr="00EC1E07">
        <w:rPr>
          <w:sz w:val="20"/>
          <w:szCs w:val="20"/>
        </w:rPr>
        <w:t>3</w:t>
      </w:r>
      <w:r w:rsidRPr="00EC1E07">
        <w:rPr>
          <w:sz w:val="20"/>
          <w:szCs w:val="20"/>
        </w:rPr>
        <w:t xml:space="preserve"> Meeting Chairman Notes, </w:t>
      </w:r>
      <w:r w:rsidR="00F92C60" w:rsidRPr="00EC1E07">
        <w:rPr>
          <w:sz w:val="20"/>
          <w:szCs w:val="20"/>
        </w:rPr>
        <w:t>Nagoya, Japan, 18th – 21st, September 2017</w:t>
      </w:r>
    </w:p>
    <w:p w14:paraId="397F0BF7" w14:textId="77777777" w:rsidR="00EC2360" w:rsidRDefault="00BB67D8" w:rsidP="00EC2360">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EC2360">
        <w:rPr>
          <w:sz w:val="20"/>
          <w:szCs w:val="20"/>
        </w:rPr>
        <w:t>3</w:t>
      </w:r>
      <w:r w:rsidR="00422A70" w:rsidRPr="00EC2360">
        <w:rPr>
          <w:sz w:val="20"/>
          <w:szCs w:val="20"/>
        </w:rPr>
        <w:t>GPP RAN1</w:t>
      </w:r>
      <w:r w:rsidRPr="00EC2360">
        <w:rPr>
          <w:sz w:val="20"/>
          <w:szCs w:val="20"/>
        </w:rPr>
        <w:t xml:space="preserve"> #90b </w:t>
      </w:r>
      <w:r w:rsidR="00EC1E07" w:rsidRPr="00EC2360">
        <w:rPr>
          <w:sz w:val="20"/>
          <w:szCs w:val="20"/>
        </w:rPr>
        <w:t xml:space="preserve">Meeting Chairman Notes, </w:t>
      </w:r>
      <w:r w:rsidR="00890C55" w:rsidRPr="00EC2360">
        <w:rPr>
          <w:sz w:val="20"/>
          <w:szCs w:val="20"/>
        </w:rPr>
        <w:t>Prague, Czech, 9th – 13th Oct 2017</w:t>
      </w:r>
    </w:p>
    <w:p w14:paraId="39C1FD28" w14:textId="0DC6FA55" w:rsidR="003E1453" w:rsidRPr="00EC2360" w:rsidRDefault="003E1453" w:rsidP="00EC2360">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EC2360">
        <w:rPr>
          <w:sz w:val="20"/>
          <w:szCs w:val="20"/>
        </w:rPr>
        <w:t xml:space="preserve">3GPP RAN1 #89 Meeting Chairman Notes, </w:t>
      </w:r>
      <w:r w:rsidR="00D15A62" w:rsidRPr="00EC2360">
        <w:rPr>
          <w:sz w:val="20"/>
          <w:szCs w:val="20"/>
        </w:rPr>
        <w:t>Hangzhou</w:t>
      </w:r>
      <w:r w:rsidRPr="00EC2360">
        <w:rPr>
          <w:sz w:val="20"/>
          <w:szCs w:val="20"/>
        </w:rPr>
        <w:t xml:space="preserve">, China, </w:t>
      </w:r>
      <w:r w:rsidR="008E08E7" w:rsidRPr="00EC2360">
        <w:rPr>
          <w:sz w:val="20"/>
          <w:szCs w:val="20"/>
        </w:rPr>
        <w:t>15th – 19th May 2017</w:t>
      </w:r>
    </w:p>
    <w:p w14:paraId="64297446" w14:textId="77777777" w:rsidR="003E1453" w:rsidRPr="00BB67D8" w:rsidRDefault="003E1453" w:rsidP="008E08E7">
      <w:pPr>
        <w:overflowPunct w:val="0"/>
        <w:autoSpaceDE w:val="0"/>
        <w:autoSpaceDN w:val="0"/>
        <w:adjustRightInd w:val="0"/>
        <w:spacing w:before="100" w:beforeAutospacing="1" w:after="100" w:afterAutospacing="1"/>
        <w:ind w:left="562"/>
        <w:textAlignment w:val="baseline"/>
        <w:rPr>
          <w:sz w:val="20"/>
          <w:szCs w:val="20"/>
        </w:rPr>
      </w:pPr>
    </w:p>
    <w:sectPr w:rsidR="003E1453" w:rsidRPr="00BB67D8">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B999A" w14:textId="77777777" w:rsidR="00B15718" w:rsidRDefault="00B15718">
      <w:r>
        <w:separator/>
      </w:r>
    </w:p>
  </w:endnote>
  <w:endnote w:type="continuationSeparator" w:id="0">
    <w:p w14:paraId="76F982B0" w14:textId="77777777" w:rsidR="00B15718" w:rsidRDefault="00B15718">
      <w:r>
        <w:continuationSeparator/>
      </w:r>
    </w:p>
  </w:endnote>
  <w:endnote w:type="continuationNotice" w:id="1">
    <w:p w14:paraId="6AA429BA" w14:textId="77777777" w:rsidR="00B15718" w:rsidRDefault="00B157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6F479" w14:textId="77777777" w:rsidR="00B15718" w:rsidRDefault="00B15718">
      <w:r>
        <w:separator/>
      </w:r>
    </w:p>
  </w:footnote>
  <w:footnote w:type="continuationSeparator" w:id="0">
    <w:p w14:paraId="525FD1E3" w14:textId="77777777" w:rsidR="00B15718" w:rsidRDefault="00B15718">
      <w:r>
        <w:continuationSeparator/>
      </w:r>
    </w:p>
  </w:footnote>
  <w:footnote w:type="continuationNotice" w:id="1">
    <w:p w14:paraId="49E8DD84" w14:textId="77777777" w:rsidR="00B15718" w:rsidRDefault="00B157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9D35DD"/>
    <w:multiLevelType w:val="hybridMultilevel"/>
    <w:tmpl w:val="EF7C2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13"/>
  </w:num>
  <w:num w:numId="4">
    <w:abstractNumId w:val="14"/>
  </w:num>
  <w:num w:numId="5">
    <w:abstractNumId w:val="8"/>
  </w:num>
  <w:num w:numId="6">
    <w:abstractNumId w:val="15"/>
  </w:num>
  <w:num w:numId="7">
    <w:abstractNumId w:val="20"/>
  </w:num>
  <w:num w:numId="8">
    <w:abstractNumId w:val="9"/>
  </w:num>
  <w:num w:numId="9">
    <w:abstractNumId w:val="18"/>
  </w:num>
  <w:num w:numId="10">
    <w:abstractNumId w:val="11"/>
  </w:num>
  <w:num w:numId="11">
    <w:abstractNumId w:val="10"/>
  </w:num>
  <w:num w:numId="12">
    <w:abstractNumId w:val="22"/>
  </w:num>
  <w:num w:numId="13">
    <w:abstractNumId w:val="7"/>
  </w:num>
  <w:num w:numId="14">
    <w:abstractNumId w:val="1"/>
  </w:num>
  <w:num w:numId="15">
    <w:abstractNumId w:val="5"/>
  </w:num>
  <w:num w:numId="16">
    <w:abstractNumId w:val="25"/>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16"/>
  </w:num>
  <w:num w:numId="23">
    <w:abstractNumId w:val="23"/>
  </w:num>
  <w:num w:numId="24">
    <w:abstractNumId w:val="6"/>
  </w:num>
  <w:num w:numId="25">
    <w:abstractNumId w:val="12"/>
  </w:num>
  <w:num w:numId="26">
    <w:abstractNumId w:val="19"/>
  </w:num>
  <w:num w:numId="27">
    <w:abstractNumId w:val="2"/>
  </w:num>
  <w:num w:numId="28">
    <w:abstractNumId w:val="24"/>
  </w:num>
  <w:num w:numId="29">
    <w:abstractNumId w:val="21"/>
  </w:num>
  <w:num w:numId="30">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3697"/>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2D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4EC"/>
    <w:rsid w:val="000F75D8"/>
    <w:rsid w:val="001002DA"/>
    <w:rsid w:val="001005FF"/>
    <w:rsid w:val="001009D3"/>
    <w:rsid w:val="00100B06"/>
    <w:rsid w:val="00100D9C"/>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738D"/>
    <w:rsid w:val="00117438"/>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730"/>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6135"/>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6CA5"/>
    <w:rsid w:val="00167FD2"/>
    <w:rsid w:val="001701F0"/>
    <w:rsid w:val="001702E2"/>
    <w:rsid w:val="00170E4E"/>
    <w:rsid w:val="001711C4"/>
    <w:rsid w:val="00171238"/>
    <w:rsid w:val="0017131F"/>
    <w:rsid w:val="00171D65"/>
    <w:rsid w:val="00172253"/>
    <w:rsid w:val="0017245A"/>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1B2"/>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7C5"/>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284D"/>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038C"/>
    <w:rsid w:val="00213283"/>
    <w:rsid w:val="00213867"/>
    <w:rsid w:val="00213E1E"/>
    <w:rsid w:val="00214DA8"/>
    <w:rsid w:val="00215423"/>
    <w:rsid w:val="002158FA"/>
    <w:rsid w:val="00215A53"/>
    <w:rsid w:val="00217079"/>
    <w:rsid w:val="0021735F"/>
    <w:rsid w:val="00217ABD"/>
    <w:rsid w:val="00217D43"/>
    <w:rsid w:val="00220600"/>
    <w:rsid w:val="002217DD"/>
    <w:rsid w:val="002224DB"/>
    <w:rsid w:val="00222DBC"/>
    <w:rsid w:val="00223CDE"/>
    <w:rsid w:val="00223FCB"/>
    <w:rsid w:val="002244D3"/>
    <w:rsid w:val="002252AD"/>
    <w:rsid w:val="002252C3"/>
    <w:rsid w:val="002257C5"/>
    <w:rsid w:val="00225C54"/>
    <w:rsid w:val="00226A79"/>
    <w:rsid w:val="00227395"/>
    <w:rsid w:val="00227AF2"/>
    <w:rsid w:val="00227E24"/>
    <w:rsid w:val="00227ECB"/>
    <w:rsid w:val="00230765"/>
    <w:rsid w:val="002319E4"/>
    <w:rsid w:val="00232C7C"/>
    <w:rsid w:val="00233C3D"/>
    <w:rsid w:val="00233C9B"/>
    <w:rsid w:val="002352DA"/>
    <w:rsid w:val="00235632"/>
    <w:rsid w:val="00235872"/>
    <w:rsid w:val="00235B27"/>
    <w:rsid w:val="00235BBB"/>
    <w:rsid w:val="00235CD6"/>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544A"/>
    <w:rsid w:val="00275549"/>
    <w:rsid w:val="0027586B"/>
    <w:rsid w:val="00276B58"/>
    <w:rsid w:val="00276BE3"/>
    <w:rsid w:val="0027777C"/>
    <w:rsid w:val="00280537"/>
    <w:rsid w:val="002805F5"/>
    <w:rsid w:val="00280751"/>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67A"/>
    <w:rsid w:val="0029777D"/>
    <w:rsid w:val="002A055E"/>
    <w:rsid w:val="002A17BC"/>
    <w:rsid w:val="002A1AE5"/>
    <w:rsid w:val="002A1D4E"/>
    <w:rsid w:val="002A2869"/>
    <w:rsid w:val="002A2980"/>
    <w:rsid w:val="002A2A87"/>
    <w:rsid w:val="002A2DB3"/>
    <w:rsid w:val="002A30D2"/>
    <w:rsid w:val="002A379D"/>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53C"/>
    <w:rsid w:val="00376A1A"/>
    <w:rsid w:val="00376B9D"/>
    <w:rsid w:val="00377CE1"/>
    <w:rsid w:val="003807F1"/>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53"/>
    <w:rsid w:val="003E1481"/>
    <w:rsid w:val="003E15FA"/>
    <w:rsid w:val="003E181F"/>
    <w:rsid w:val="003E1D4C"/>
    <w:rsid w:val="003E33C2"/>
    <w:rsid w:val="003E3A14"/>
    <w:rsid w:val="003E3C4D"/>
    <w:rsid w:val="003E3DE7"/>
    <w:rsid w:val="003E434B"/>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4F"/>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C6E"/>
    <w:rsid w:val="00444F56"/>
    <w:rsid w:val="00445DCE"/>
    <w:rsid w:val="00445FA0"/>
    <w:rsid w:val="00446488"/>
    <w:rsid w:val="00450B74"/>
    <w:rsid w:val="00450DD4"/>
    <w:rsid w:val="00450EEC"/>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C31"/>
    <w:rsid w:val="00470C4F"/>
    <w:rsid w:val="004719C3"/>
    <w:rsid w:val="00472448"/>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665"/>
    <w:rsid w:val="004F3C13"/>
    <w:rsid w:val="004F4200"/>
    <w:rsid w:val="004F4931"/>
    <w:rsid w:val="004F4AFB"/>
    <w:rsid w:val="004F4DA3"/>
    <w:rsid w:val="004F5AC4"/>
    <w:rsid w:val="004F6122"/>
    <w:rsid w:val="004F631E"/>
    <w:rsid w:val="004F65A9"/>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67C5"/>
    <w:rsid w:val="005074E5"/>
    <w:rsid w:val="00507671"/>
    <w:rsid w:val="005079F9"/>
    <w:rsid w:val="0051067E"/>
    <w:rsid w:val="005108D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3ED9"/>
    <w:rsid w:val="00524AC7"/>
    <w:rsid w:val="00525315"/>
    <w:rsid w:val="00525439"/>
    <w:rsid w:val="00526167"/>
    <w:rsid w:val="0052616B"/>
    <w:rsid w:val="00526464"/>
    <w:rsid w:val="00526998"/>
    <w:rsid w:val="00526B0A"/>
    <w:rsid w:val="005309B2"/>
    <w:rsid w:val="005314A7"/>
    <w:rsid w:val="005317B9"/>
    <w:rsid w:val="005321B3"/>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8E"/>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3221"/>
    <w:rsid w:val="00553377"/>
    <w:rsid w:val="005537AD"/>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45"/>
    <w:rsid w:val="00591F85"/>
    <w:rsid w:val="0059346F"/>
    <w:rsid w:val="005935A4"/>
    <w:rsid w:val="0059484A"/>
    <w:rsid w:val="005948C2"/>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6F83"/>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6AF9"/>
    <w:rsid w:val="00607BB5"/>
    <w:rsid w:val="00610361"/>
    <w:rsid w:val="00610417"/>
    <w:rsid w:val="00610612"/>
    <w:rsid w:val="00610A0E"/>
    <w:rsid w:val="00610EDC"/>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673"/>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0B4"/>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721"/>
    <w:rsid w:val="00674CC3"/>
    <w:rsid w:val="00675C72"/>
    <w:rsid w:val="00676901"/>
    <w:rsid w:val="0067719C"/>
    <w:rsid w:val="006771F9"/>
    <w:rsid w:val="0067767A"/>
    <w:rsid w:val="006776D7"/>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BEA"/>
    <w:rsid w:val="006874FF"/>
    <w:rsid w:val="0068771A"/>
    <w:rsid w:val="006906F0"/>
    <w:rsid w:val="00690B32"/>
    <w:rsid w:val="00691D35"/>
    <w:rsid w:val="00692288"/>
    <w:rsid w:val="00692947"/>
    <w:rsid w:val="00693420"/>
    <w:rsid w:val="00693EE0"/>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5EAB"/>
    <w:rsid w:val="006A697B"/>
    <w:rsid w:val="006A7AFF"/>
    <w:rsid w:val="006B06EB"/>
    <w:rsid w:val="006B07F1"/>
    <w:rsid w:val="006B1816"/>
    <w:rsid w:val="006B1BE0"/>
    <w:rsid w:val="006B1D6F"/>
    <w:rsid w:val="006B1E42"/>
    <w:rsid w:val="006B2099"/>
    <w:rsid w:val="006B235E"/>
    <w:rsid w:val="006B2533"/>
    <w:rsid w:val="006B2B32"/>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31C6"/>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0EA3"/>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6EF3"/>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5D09"/>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6CCD"/>
    <w:rsid w:val="0082755A"/>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1E73"/>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D7"/>
    <w:rsid w:val="00875E97"/>
    <w:rsid w:val="00875EC6"/>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159"/>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744"/>
    <w:rsid w:val="008D4B3C"/>
    <w:rsid w:val="008D4BF2"/>
    <w:rsid w:val="008D500F"/>
    <w:rsid w:val="008D5CCD"/>
    <w:rsid w:val="008D6737"/>
    <w:rsid w:val="008D6AD5"/>
    <w:rsid w:val="008D6D1A"/>
    <w:rsid w:val="008E065E"/>
    <w:rsid w:val="008E07DC"/>
    <w:rsid w:val="008E08E7"/>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D06"/>
    <w:rsid w:val="00900F22"/>
    <w:rsid w:val="009013D1"/>
    <w:rsid w:val="00901F29"/>
    <w:rsid w:val="009020AD"/>
    <w:rsid w:val="009021F6"/>
    <w:rsid w:val="00902350"/>
    <w:rsid w:val="009024C4"/>
    <w:rsid w:val="00902A9A"/>
    <w:rsid w:val="0090336B"/>
    <w:rsid w:val="00903A3A"/>
    <w:rsid w:val="00904510"/>
    <w:rsid w:val="009053AA"/>
    <w:rsid w:val="00906939"/>
    <w:rsid w:val="009069F6"/>
    <w:rsid w:val="00906CC5"/>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EA7"/>
    <w:rsid w:val="00937DFF"/>
    <w:rsid w:val="00940E12"/>
    <w:rsid w:val="00941636"/>
    <w:rsid w:val="009423A5"/>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25E"/>
    <w:rsid w:val="009924E3"/>
    <w:rsid w:val="00992516"/>
    <w:rsid w:val="0099299D"/>
    <w:rsid w:val="009929BE"/>
    <w:rsid w:val="0099477F"/>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0D60"/>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2AB"/>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3BD5"/>
    <w:rsid w:val="009E4342"/>
    <w:rsid w:val="009E47A3"/>
    <w:rsid w:val="009E4897"/>
    <w:rsid w:val="009E54B2"/>
    <w:rsid w:val="009E54DD"/>
    <w:rsid w:val="009E55B1"/>
    <w:rsid w:val="009E61F3"/>
    <w:rsid w:val="009E78E7"/>
    <w:rsid w:val="009E7E2D"/>
    <w:rsid w:val="009F08F3"/>
    <w:rsid w:val="009F0EBC"/>
    <w:rsid w:val="009F0ED5"/>
    <w:rsid w:val="009F0F28"/>
    <w:rsid w:val="009F1A60"/>
    <w:rsid w:val="009F2069"/>
    <w:rsid w:val="009F2B8D"/>
    <w:rsid w:val="009F344F"/>
    <w:rsid w:val="009F390C"/>
    <w:rsid w:val="009F427D"/>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0D6"/>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6F6"/>
    <w:rsid w:val="00AA0F66"/>
    <w:rsid w:val="00AA0FCD"/>
    <w:rsid w:val="00AA1ED6"/>
    <w:rsid w:val="00AA20D0"/>
    <w:rsid w:val="00AA2C82"/>
    <w:rsid w:val="00AA330A"/>
    <w:rsid w:val="00AA33C1"/>
    <w:rsid w:val="00AA361D"/>
    <w:rsid w:val="00AA4364"/>
    <w:rsid w:val="00AA43F2"/>
    <w:rsid w:val="00AA51D6"/>
    <w:rsid w:val="00AA5A4B"/>
    <w:rsid w:val="00AA5AC0"/>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3FBC"/>
    <w:rsid w:val="00AC49FB"/>
    <w:rsid w:val="00AC4BBF"/>
    <w:rsid w:val="00AC550F"/>
    <w:rsid w:val="00AC5A10"/>
    <w:rsid w:val="00AC675A"/>
    <w:rsid w:val="00AC681E"/>
    <w:rsid w:val="00AC6CC7"/>
    <w:rsid w:val="00AC733C"/>
    <w:rsid w:val="00AC7B22"/>
    <w:rsid w:val="00AD00BB"/>
    <w:rsid w:val="00AD0380"/>
    <w:rsid w:val="00AD0AA3"/>
    <w:rsid w:val="00AD122E"/>
    <w:rsid w:val="00AD20C4"/>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2EBB"/>
    <w:rsid w:val="00AF345A"/>
    <w:rsid w:val="00AF3629"/>
    <w:rsid w:val="00AF3AF2"/>
    <w:rsid w:val="00AF3D10"/>
    <w:rsid w:val="00AF42D7"/>
    <w:rsid w:val="00AF43E1"/>
    <w:rsid w:val="00AF4523"/>
    <w:rsid w:val="00AF4759"/>
    <w:rsid w:val="00AF482C"/>
    <w:rsid w:val="00AF5AEF"/>
    <w:rsid w:val="00AF5D3C"/>
    <w:rsid w:val="00AF5E19"/>
    <w:rsid w:val="00AF6371"/>
    <w:rsid w:val="00AF6A8B"/>
    <w:rsid w:val="00AF6FDE"/>
    <w:rsid w:val="00AF7121"/>
    <w:rsid w:val="00B00240"/>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472"/>
    <w:rsid w:val="00B125F7"/>
    <w:rsid w:val="00B139E0"/>
    <w:rsid w:val="00B13E74"/>
    <w:rsid w:val="00B152F4"/>
    <w:rsid w:val="00B1542D"/>
    <w:rsid w:val="00B15718"/>
    <w:rsid w:val="00B157F9"/>
    <w:rsid w:val="00B15F66"/>
    <w:rsid w:val="00B16272"/>
    <w:rsid w:val="00B167F1"/>
    <w:rsid w:val="00B16FFF"/>
    <w:rsid w:val="00B17033"/>
    <w:rsid w:val="00B17223"/>
    <w:rsid w:val="00B176C4"/>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4C91"/>
    <w:rsid w:val="00B45A52"/>
    <w:rsid w:val="00B46175"/>
    <w:rsid w:val="00B46AD4"/>
    <w:rsid w:val="00B46E76"/>
    <w:rsid w:val="00B47BEE"/>
    <w:rsid w:val="00B47EDA"/>
    <w:rsid w:val="00B505B9"/>
    <w:rsid w:val="00B50B57"/>
    <w:rsid w:val="00B50C4B"/>
    <w:rsid w:val="00B51602"/>
    <w:rsid w:val="00B51FEE"/>
    <w:rsid w:val="00B52A53"/>
    <w:rsid w:val="00B52A99"/>
    <w:rsid w:val="00B52D7F"/>
    <w:rsid w:val="00B53ED8"/>
    <w:rsid w:val="00B54FC5"/>
    <w:rsid w:val="00B567ED"/>
    <w:rsid w:val="00B56916"/>
    <w:rsid w:val="00B571BA"/>
    <w:rsid w:val="00B5738F"/>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37DB"/>
    <w:rsid w:val="00B64259"/>
    <w:rsid w:val="00B6553E"/>
    <w:rsid w:val="00B658B9"/>
    <w:rsid w:val="00B66345"/>
    <w:rsid w:val="00B664C7"/>
    <w:rsid w:val="00B669B8"/>
    <w:rsid w:val="00B70733"/>
    <w:rsid w:val="00B70846"/>
    <w:rsid w:val="00B716B4"/>
    <w:rsid w:val="00B739F6"/>
    <w:rsid w:val="00B74D07"/>
    <w:rsid w:val="00B75A18"/>
    <w:rsid w:val="00B75C40"/>
    <w:rsid w:val="00B75D28"/>
    <w:rsid w:val="00B768FE"/>
    <w:rsid w:val="00B76AE7"/>
    <w:rsid w:val="00B76EA2"/>
    <w:rsid w:val="00B76EFA"/>
    <w:rsid w:val="00B771E3"/>
    <w:rsid w:val="00B77A05"/>
    <w:rsid w:val="00B77A81"/>
    <w:rsid w:val="00B77D15"/>
    <w:rsid w:val="00B77EC9"/>
    <w:rsid w:val="00B80475"/>
    <w:rsid w:val="00B81698"/>
    <w:rsid w:val="00B81A6C"/>
    <w:rsid w:val="00B81AD8"/>
    <w:rsid w:val="00B82151"/>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A88"/>
    <w:rsid w:val="00BB0D37"/>
    <w:rsid w:val="00BB14C4"/>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3AF"/>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9B5"/>
    <w:rsid w:val="00C27BD2"/>
    <w:rsid w:val="00C27C45"/>
    <w:rsid w:val="00C30691"/>
    <w:rsid w:val="00C30833"/>
    <w:rsid w:val="00C30F0B"/>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7D72"/>
    <w:rsid w:val="00C57EF3"/>
    <w:rsid w:val="00C603E2"/>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803"/>
    <w:rsid w:val="00C7057C"/>
    <w:rsid w:val="00C70697"/>
    <w:rsid w:val="00C72EDD"/>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5C6"/>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A0487"/>
    <w:rsid w:val="00CA04B9"/>
    <w:rsid w:val="00CA0EBA"/>
    <w:rsid w:val="00CA1057"/>
    <w:rsid w:val="00CA1ED8"/>
    <w:rsid w:val="00CA2007"/>
    <w:rsid w:val="00CA2BF4"/>
    <w:rsid w:val="00CA331B"/>
    <w:rsid w:val="00CA3474"/>
    <w:rsid w:val="00CA34C1"/>
    <w:rsid w:val="00CA4300"/>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9E0"/>
    <w:rsid w:val="00CB61EF"/>
    <w:rsid w:val="00CB6802"/>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1533"/>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5A4"/>
    <w:rsid w:val="00D12695"/>
    <w:rsid w:val="00D12889"/>
    <w:rsid w:val="00D12E30"/>
    <w:rsid w:val="00D13135"/>
    <w:rsid w:val="00D13297"/>
    <w:rsid w:val="00D13310"/>
    <w:rsid w:val="00D13325"/>
    <w:rsid w:val="00D13C81"/>
    <w:rsid w:val="00D13E4E"/>
    <w:rsid w:val="00D15A62"/>
    <w:rsid w:val="00D15AAD"/>
    <w:rsid w:val="00D15D01"/>
    <w:rsid w:val="00D161D8"/>
    <w:rsid w:val="00D165B8"/>
    <w:rsid w:val="00D17B64"/>
    <w:rsid w:val="00D17CE4"/>
    <w:rsid w:val="00D2006E"/>
    <w:rsid w:val="00D20522"/>
    <w:rsid w:val="00D21672"/>
    <w:rsid w:val="00D2277F"/>
    <w:rsid w:val="00D239A7"/>
    <w:rsid w:val="00D23BE5"/>
    <w:rsid w:val="00D23F47"/>
    <w:rsid w:val="00D240A3"/>
    <w:rsid w:val="00D242E0"/>
    <w:rsid w:val="00D2486B"/>
    <w:rsid w:val="00D24951"/>
    <w:rsid w:val="00D251A0"/>
    <w:rsid w:val="00D25491"/>
    <w:rsid w:val="00D25557"/>
    <w:rsid w:val="00D2556A"/>
    <w:rsid w:val="00D26BF0"/>
    <w:rsid w:val="00D26C20"/>
    <w:rsid w:val="00D27F67"/>
    <w:rsid w:val="00D3005B"/>
    <w:rsid w:val="00D3014D"/>
    <w:rsid w:val="00D309CC"/>
    <w:rsid w:val="00D31995"/>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4206"/>
    <w:rsid w:val="00D546FF"/>
    <w:rsid w:val="00D548D1"/>
    <w:rsid w:val="00D55AD5"/>
    <w:rsid w:val="00D55E91"/>
    <w:rsid w:val="00D576CA"/>
    <w:rsid w:val="00D576E3"/>
    <w:rsid w:val="00D60C0E"/>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751A"/>
    <w:rsid w:val="00D777E0"/>
    <w:rsid w:val="00D77B1D"/>
    <w:rsid w:val="00D77FDA"/>
    <w:rsid w:val="00D8021F"/>
    <w:rsid w:val="00D80383"/>
    <w:rsid w:val="00D80ADB"/>
    <w:rsid w:val="00D80B3E"/>
    <w:rsid w:val="00D80E2C"/>
    <w:rsid w:val="00D81DFE"/>
    <w:rsid w:val="00D81F78"/>
    <w:rsid w:val="00D8201A"/>
    <w:rsid w:val="00D823C6"/>
    <w:rsid w:val="00D82883"/>
    <w:rsid w:val="00D82E25"/>
    <w:rsid w:val="00D837A0"/>
    <w:rsid w:val="00D86189"/>
    <w:rsid w:val="00D86267"/>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4431"/>
    <w:rsid w:val="00DA5007"/>
    <w:rsid w:val="00DA5417"/>
    <w:rsid w:val="00DA56E8"/>
    <w:rsid w:val="00DA5BDE"/>
    <w:rsid w:val="00DA6689"/>
    <w:rsid w:val="00DA7255"/>
    <w:rsid w:val="00DA7516"/>
    <w:rsid w:val="00DB0A9F"/>
    <w:rsid w:val="00DB0F9E"/>
    <w:rsid w:val="00DB1A51"/>
    <w:rsid w:val="00DB1C6D"/>
    <w:rsid w:val="00DB27C1"/>
    <w:rsid w:val="00DB352E"/>
    <w:rsid w:val="00DB377D"/>
    <w:rsid w:val="00DB4499"/>
    <w:rsid w:val="00DB4C71"/>
    <w:rsid w:val="00DB4FFB"/>
    <w:rsid w:val="00DB591C"/>
    <w:rsid w:val="00DB7A41"/>
    <w:rsid w:val="00DC06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3BB"/>
    <w:rsid w:val="00DF0469"/>
    <w:rsid w:val="00DF0B6E"/>
    <w:rsid w:val="00DF0DF2"/>
    <w:rsid w:val="00DF15E0"/>
    <w:rsid w:val="00DF2B54"/>
    <w:rsid w:val="00DF318B"/>
    <w:rsid w:val="00DF3520"/>
    <w:rsid w:val="00DF369C"/>
    <w:rsid w:val="00DF37A0"/>
    <w:rsid w:val="00DF3B7B"/>
    <w:rsid w:val="00DF4008"/>
    <w:rsid w:val="00DF45B5"/>
    <w:rsid w:val="00DF4F61"/>
    <w:rsid w:val="00DF6056"/>
    <w:rsid w:val="00DF6695"/>
    <w:rsid w:val="00DF7559"/>
    <w:rsid w:val="00E006FD"/>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A9D"/>
    <w:rsid w:val="00E17FA2"/>
    <w:rsid w:val="00E20601"/>
    <w:rsid w:val="00E209C7"/>
    <w:rsid w:val="00E20A0E"/>
    <w:rsid w:val="00E20FEC"/>
    <w:rsid w:val="00E22330"/>
    <w:rsid w:val="00E2423D"/>
    <w:rsid w:val="00E24340"/>
    <w:rsid w:val="00E24460"/>
    <w:rsid w:val="00E24518"/>
    <w:rsid w:val="00E24FD3"/>
    <w:rsid w:val="00E25353"/>
    <w:rsid w:val="00E25AE6"/>
    <w:rsid w:val="00E30B5A"/>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4025F"/>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122"/>
    <w:rsid w:val="00EB68B4"/>
    <w:rsid w:val="00EB75F3"/>
    <w:rsid w:val="00EB7CE4"/>
    <w:rsid w:val="00EB7FE7"/>
    <w:rsid w:val="00EC17F7"/>
    <w:rsid w:val="00EC1E07"/>
    <w:rsid w:val="00EC2360"/>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7EE"/>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51D1"/>
    <w:rsid w:val="00F2688F"/>
    <w:rsid w:val="00F26E71"/>
    <w:rsid w:val="00F30828"/>
    <w:rsid w:val="00F3108E"/>
    <w:rsid w:val="00F31148"/>
    <w:rsid w:val="00F313D6"/>
    <w:rsid w:val="00F31483"/>
    <w:rsid w:val="00F326AF"/>
    <w:rsid w:val="00F32B20"/>
    <w:rsid w:val="00F32D6C"/>
    <w:rsid w:val="00F33113"/>
    <w:rsid w:val="00F33232"/>
    <w:rsid w:val="00F33BF6"/>
    <w:rsid w:val="00F33F60"/>
    <w:rsid w:val="00F3438E"/>
    <w:rsid w:val="00F35DFE"/>
    <w:rsid w:val="00F36A2F"/>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4E06"/>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5C20"/>
    <w:rsid w:val="00FD6174"/>
    <w:rsid w:val="00FD653F"/>
    <w:rsid w:val="00FD74DB"/>
    <w:rsid w:val="00FD7660"/>
    <w:rsid w:val="00FD77AB"/>
    <w:rsid w:val="00FE00B2"/>
    <w:rsid w:val="00FE0655"/>
    <w:rsid w:val="00FE0C3E"/>
    <w:rsid w:val="00FE1336"/>
    <w:rsid w:val="00FE2365"/>
    <w:rsid w:val="00FE2A4D"/>
    <w:rsid w:val="00FE3C6C"/>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リスト段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0203889">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BD1B0-4BE6-694F-B7FA-1D2485BB9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731</TotalTime>
  <Pages>8</Pages>
  <Words>3225</Words>
  <Characters>18389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Haitong Sun</cp:lastModifiedBy>
  <cp:revision>373</cp:revision>
  <cp:lastPrinted>2008-01-31T16:09:00Z</cp:lastPrinted>
  <dcterms:created xsi:type="dcterms:W3CDTF">2017-09-28T15:58:00Z</dcterms:created>
  <dcterms:modified xsi:type="dcterms:W3CDTF">2018-04-05T22:23:00Z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